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64" w:rsidRPr="00830F38" w:rsidRDefault="00987C64" w:rsidP="00987C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7"/>
          <w:szCs w:val="27"/>
          <w:lang w:eastAsia="it-IT"/>
        </w:rPr>
      </w:pPr>
      <w:bookmarkStart w:id="0" w:name="_GoBack"/>
      <w:bookmarkEnd w:id="0"/>
      <w:r w:rsidRPr="00987C64">
        <w:rPr>
          <w:rFonts w:ascii="Helvetica" w:eastAsia="Times New Roman" w:hAnsi="Helvetica" w:cs="Helvetica"/>
          <w:b/>
          <w:sz w:val="27"/>
          <w:szCs w:val="27"/>
          <w:lang w:eastAsia="it-IT"/>
        </w:rPr>
        <w:t>L'apo</w:t>
      </w:r>
      <w:r w:rsidRPr="00830F38">
        <w:rPr>
          <w:rFonts w:ascii="Helvetica" w:eastAsia="Times New Roman" w:hAnsi="Helvetica" w:cs="Helvetica"/>
          <w:b/>
          <w:sz w:val="27"/>
          <w:szCs w:val="27"/>
          <w:lang w:eastAsia="it-IT"/>
        </w:rPr>
        <w:t>logo di Menenio Agrippa</w:t>
      </w:r>
    </w:p>
    <w:p w:rsidR="004E2C79" w:rsidRPr="00987C64" w:rsidRDefault="004E2C79" w:rsidP="00987C6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6E6E6E"/>
          <w:sz w:val="27"/>
          <w:szCs w:val="27"/>
          <w:lang w:eastAsia="it-IT"/>
        </w:rPr>
      </w:pPr>
    </w:p>
    <w:p w:rsidR="00987C64" w:rsidRPr="00987C64" w:rsidRDefault="00987C64" w:rsidP="00987C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E6E6E"/>
          <w:sz w:val="32"/>
          <w:szCs w:val="32"/>
          <w:lang w:eastAsia="it-IT"/>
        </w:rPr>
      </w:pPr>
      <w:r w:rsidRPr="00987C64">
        <w:rPr>
          <w:rFonts w:ascii="Helvetica" w:eastAsia="Times New Roman" w:hAnsi="Helvetica" w:cs="Helvetica"/>
          <w:color w:val="6E6E6E"/>
          <w:sz w:val="18"/>
          <w:szCs w:val="18"/>
          <w:lang w:eastAsia="it-IT"/>
        </w:rPr>
        <w:t> </w:t>
      </w:r>
    </w:p>
    <w:p w:rsidR="00987C64" w:rsidRDefault="00987C64" w:rsidP="004E2C79">
      <w:pPr>
        <w:jc w:val="both"/>
        <w:rPr>
          <w:rFonts w:cstheme="minorHAnsi"/>
          <w:i/>
          <w:color w:val="222222"/>
          <w:sz w:val="32"/>
          <w:szCs w:val="32"/>
          <w:shd w:val="clear" w:color="auto" w:fill="FFFFFF"/>
        </w:rPr>
      </w:pPr>
      <w:r w:rsidRPr="004E2C79">
        <w:rPr>
          <w:rFonts w:cstheme="minorHAnsi"/>
          <w:color w:val="222222"/>
          <w:sz w:val="32"/>
          <w:szCs w:val="32"/>
          <w:shd w:val="clear" w:color="auto" w:fill="FFFFFF"/>
        </w:rPr>
        <w:t>L'</w:t>
      </w:r>
      <w:r w:rsidRPr="004E2C79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apologo di Menenio Agrippa</w:t>
      </w:r>
      <w:r w:rsidRPr="004E2C79">
        <w:rPr>
          <w:rFonts w:cstheme="minorHAnsi"/>
          <w:color w:val="222222"/>
          <w:sz w:val="32"/>
          <w:szCs w:val="32"/>
          <w:shd w:val="clear" w:color="auto" w:fill="FFFFFF"/>
        </w:rPr>
        <w:t xml:space="preserve"> fu un discorso pronunciato nel 494 a.C. ai plebei in rivolta che, per protesta, avevano abbandonato la città e occupato il ‘Monte </w:t>
      </w:r>
      <w:proofErr w:type="spellStart"/>
      <w:r w:rsidRPr="004E2C79">
        <w:rPr>
          <w:rFonts w:cstheme="minorHAnsi"/>
          <w:color w:val="222222"/>
          <w:sz w:val="32"/>
          <w:szCs w:val="32"/>
          <w:shd w:val="clear" w:color="auto" w:fill="FFFFFF"/>
        </w:rPr>
        <w:t>Sacro’</w:t>
      </w:r>
      <w:proofErr w:type="spellEnd"/>
      <w:r w:rsidRPr="004E2C79">
        <w:rPr>
          <w:rFonts w:cstheme="minorHAnsi"/>
          <w:color w:val="222222"/>
          <w:sz w:val="32"/>
          <w:szCs w:val="32"/>
          <w:shd w:val="clear" w:color="auto" w:fill="FFFFFF"/>
        </w:rPr>
        <w:t xml:space="preserve"> (più probabilmente il colle Aventino) per ottenere alcune ‘rivendicazioni’ rispetto ai patrizi. </w:t>
      </w:r>
      <w:r w:rsidR="004E2C79" w:rsidRPr="004E2C79">
        <w:rPr>
          <w:rFonts w:cstheme="minorHAnsi"/>
          <w:color w:val="222222"/>
          <w:sz w:val="32"/>
          <w:szCs w:val="32"/>
          <w:shd w:val="clear" w:color="auto" w:fill="FFFFFF"/>
        </w:rPr>
        <w:t>A proposito delle lotte patrizi e plebei vedi D. 1,2,2 il passo di Pomponio e sullo scontro tra i ‘due ordini’ G. Grosso,</w:t>
      </w:r>
      <w:r w:rsidR="004E2C79"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Lezioni di Storia del diritto romano</w:t>
      </w:r>
      <w:r w:rsidR="00F86137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, Torino </w:t>
      </w:r>
      <w:proofErr w:type="spellStart"/>
      <w:r w:rsidR="00F86137">
        <w:rPr>
          <w:rFonts w:cstheme="minorHAnsi"/>
          <w:i/>
          <w:color w:val="222222"/>
          <w:sz w:val="32"/>
          <w:szCs w:val="32"/>
          <w:shd w:val="clear" w:color="auto" w:fill="FFFFFF"/>
        </w:rPr>
        <w:t>Giappichelli</w:t>
      </w:r>
      <w:proofErr w:type="spellEnd"/>
      <w:r w:rsidR="00F86137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1968.</w:t>
      </w:r>
    </w:p>
    <w:p w:rsidR="00F86137" w:rsidRPr="00F86137" w:rsidRDefault="00F86137" w:rsidP="004E2C79">
      <w:pPr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F86137">
        <w:rPr>
          <w:rFonts w:cstheme="minorHAnsi"/>
          <w:i/>
          <w:color w:val="222222"/>
          <w:sz w:val="24"/>
          <w:szCs w:val="24"/>
          <w:shd w:val="clear" w:color="auto" w:fill="FFFFFF"/>
        </w:rPr>
        <w:t>Per approfondimenti (aspettando tempi migliori) se qualcuno è interessato ma possiamo chiedere alla biblioteca di inviarci le fotocopie o fare io delle scannerizzazioni</w:t>
      </w:r>
    </w:p>
    <w:p w:rsidR="00F86137" w:rsidRPr="00F86137" w:rsidRDefault="00F86137" w:rsidP="00F86137">
      <w:pPr>
        <w:pStyle w:val="NormaleWeb"/>
        <w:spacing w:before="0" w:beforeAutospacing="0" w:after="0" w:afterAutospacing="0"/>
        <w:textAlignment w:val="baseline"/>
        <w:rPr>
          <w:i/>
          <w:color w:val="222222"/>
          <w:shd w:val="clear" w:color="auto" w:fill="FFFFFF"/>
        </w:rPr>
      </w:pPr>
      <w:r w:rsidRPr="00F86137">
        <w:rPr>
          <w:color w:val="333333"/>
        </w:rPr>
        <w:t>G. Grosso</w:t>
      </w:r>
      <w:r w:rsidRPr="00F86137">
        <w:rPr>
          <w:color w:val="333333"/>
        </w:rPr>
        <w:t xml:space="preserve">, </w:t>
      </w:r>
      <w:r w:rsidRPr="00F86137">
        <w:rPr>
          <w:i/>
          <w:iCs/>
          <w:color w:val="333333"/>
          <w:bdr w:val="none" w:sz="0" w:space="0" w:color="auto" w:frame="1"/>
        </w:rPr>
        <w:t>Il diritto di sciopero e l’</w:t>
      </w:r>
      <w:proofErr w:type="spellStart"/>
      <w:r w:rsidRPr="00F86137">
        <w:rPr>
          <w:i/>
          <w:iCs/>
          <w:color w:val="333333"/>
          <w:bdr w:val="none" w:sz="0" w:space="0" w:color="auto" w:frame="1"/>
        </w:rPr>
        <w:t>intercessio</w:t>
      </w:r>
      <w:proofErr w:type="spellEnd"/>
      <w:r w:rsidRPr="00F86137">
        <w:rPr>
          <w:i/>
          <w:iCs/>
          <w:color w:val="333333"/>
          <w:bdr w:val="none" w:sz="0" w:space="0" w:color="auto" w:frame="1"/>
        </w:rPr>
        <w:t xml:space="preserve"> dei tribuni della plebe</w:t>
      </w:r>
      <w:r w:rsidRPr="00F86137">
        <w:rPr>
          <w:color w:val="333333"/>
        </w:rPr>
        <w:t>, in </w:t>
      </w:r>
      <w:r w:rsidRPr="00F86137">
        <w:rPr>
          <w:i/>
          <w:iCs/>
          <w:color w:val="333333"/>
          <w:bdr w:val="none" w:sz="0" w:space="0" w:color="auto" w:frame="1"/>
        </w:rPr>
        <w:t>RISG</w:t>
      </w:r>
      <w:r w:rsidRPr="00F86137">
        <w:rPr>
          <w:color w:val="333333"/>
        </w:rPr>
        <w:t xml:space="preserve">, 89, 1952-1953, </w:t>
      </w:r>
      <w:r w:rsidRPr="00F86137">
        <w:rPr>
          <w:color w:val="333333"/>
        </w:rPr>
        <w:t>pp. 397 ss.</w:t>
      </w:r>
    </w:p>
    <w:p w:rsidR="00F86137" w:rsidRPr="00F86137" w:rsidRDefault="00F86137" w:rsidP="00F86137">
      <w:pPr>
        <w:pStyle w:val="NormaleWeb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 w:rsidRPr="00F86137">
        <w:rPr>
          <w:color w:val="333333"/>
        </w:rPr>
        <w:t>P. Catalano, </w:t>
      </w:r>
      <w:r w:rsidRPr="00F86137">
        <w:rPr>
          <w:i/>
          <w:iCs/>
          <w:color w:val="333333"/>
          <w:bdr w:val="none" w:sz="0" w:space="0" w:color="auto" w:frame="1"/>
        </w:rPr>
        <w:t>Tribunato e resistenza</w:t>
      </w:r>
      <w:r w:rsidRPr="00F86137">
        <w:rPr>
          <w:color w:val="333333"/>
        </w:rPr>
        <w:t xml:space="preserve">, Torino 1971, 21 ss.; </w:t>
      </w:r>
      <w:r w:rsidRPr="00F86137">
        <w:rPr>
          <w:color w:val="333333"/>
          <w:shd w:val="clear" w:color="auto" w:fill="FFFFFF"/>
        </w:rPr>
        <w:t>P. Catalano, </w:t>
      </w:r>
      <w:r w:rsidRPr="00F86137">
        <w:rPr>
          <w:i/>
          <w:iCs/>
          <w:color w:val="333333"/>
          <w:bdr w:val="none" w:sz="0" w:space="0" w:color="auto" w:frame="1"/>
          <w:shd w:val="clear" w:color="auto" w:fill="FFFFFF"/>
        </w:rPr>
        <w:t>A proposito dei concetti di ‘rivoluzione’ nella dottrina romanistica contemporanea (tra rivoluzione della plebe e dittature rivoluzionarie)</w:t>
      </w:r>
      <w:r w:rsidRPr="00F86137">
        <w:rPr>
          <w:color w:val="333333"/>
          <w:shd w:val="clear" w:color="auto" w:fill="FFFFFF"/>
        </w:rPr>
        <w:t>, in </w:t>
      </w:r>
      <w:r w:rsidRPr="00F86137">
        <w:rPr>
          <w:i/>
          <w:iCs/>
          <w:color w:val="333333"/>
          <w:bdr w:val="none" w:sz="0" w:space="0" w:color="auto" w:frame="1"/>
          <w:shd w:val="clear" w:color="auto" w:fill="FFFFFF"/>
        </w:rPr>
        <w:t>SDH</w:t>
      </w:r>
      <w:r w:rsidRPr="00F86137">
        <w:rPr>
          <w:i/>
          <w:iCs/>
          <w:color w:val="333333"/>
          <w:bdr w:val="none" w:sz="0" w:space="0" w:color="auto" w:frame="1"/>
          <w:shd w:val="clear" w:color="auto" w:fill="FFFFFF"/>
        </w:rPr>
        <w:t>I</w:t>
      </w:r>
      <w:r w:rsidRPr="00F86137">
        <w:rPr>
          <w:color w:val="333333"/>
          <w:shd w:val="clear" w:color="auto" w:fill="FFFFFF"/>
        </w:rPr>
        <w:t>, 43, 1977, pp. 440 ss.</w:t>
      </w:r>
    </w:p>
    <w:p w:rsidR="00987C64" w:rsidRPr="004E2C79" w:rsidRDefault="00987C64" w:rsidP="00987C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E6E6E"/>
          <w:sz w:val="32"/>
          <w:szCs w:val="32"/>
          <w:lang w:eastAsia="it-IT"/>
        </w:rPr>
      </w:pPr>
    </w:p>
    <w:p w:rsidR="00987C64" w:rsidRPr="00987C64" w:rsidRDefault="00987C64" w:rsidP="00987C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E6E6E"/>
          <w:sz w:val="32"/>
          <w:szCs w:val="32"/>
          <w:lang w:eastAsia="it-IT"/>
        </w:rPr>
      </w:pPr>
      <w:r w:rsidRPr="00987C64">
        <w:rPr>
          <w:rFonts w:eastAsia="Times New Roman" w:cstheme="minorHAnsi"/>
          <w:color w:val="6E6E6E"/>
          <w:sz w:val="32"/>
          <w:szCs w:val="32"/>
          <w:lang w:eastAsia="it-IT"/>
        </w:rPr>
        <w:t>Tito Livio</w:t>
      </w:r>
      <w:r w:rsidRPr="004E2C79">
        <w:rPr>
          <w:rFonts w:eastAsia="Times New Roman" w:cstheme="minorHAnsi"/>
          <w:color w:val="6E6E6E"/>
          <w:sz w:val="32"/>
          <w:szCs w:val="32"/>
          <w:lang w:eastAsia="it-IT"/>
        </w:rPr>
        <w:t>, II</w:t>
      </w:r>
      <w:r w:rsidR="004E2C79" w:rsidRPr="004E2C79">
        <w:rPr>
          <w:rFonts w:eastAsia="Times New Roman" w:cstheme="minorHAnsi"/>
          <w:color w:val="6E6E6E"/>
          <w:sz w:val="32"/>
          <w:szCs w:val="32"/>
          <w:lang w:eastAsia="it-IT"/>
        </w:rPr>
        <w:t xml:space="preserve">,32 </w:t>
      </w:r>
      <w:r w:rsidRPr="004E2C79">
        <w:rPr>
          <w:rFonts w:eastAsia="Times New Roman" w:cstheme="minorHAnsi"/>
          <w:i/>
          <w:color w:val="6E6E6E"/>
          <w:sz w:val="32"/>
          <w:szCs w:val="32"/>
          <w:lang w:eastAsia="it-IT"/>
        </w:rPr>
        <w:t>ab Urbe condita</w:t>
      </w:r>
      <w:r w:rsidR="004E2C79" w:rsidRPr="004E2C79">
        <w:rPr>
          <w:rFonts w:eastAsia="Times New Roman" w:cstheme="minorHAnsi"/>
          <w:color w:val="6E6E6E"/>
          <w:sz w:val="32"/>
          <w:szCs w:val="32"/>
          <w:lang w:eastAsia="it-IT"/>
        </w:rPr>
        <w:t>:</w:t>
      </w:r>
    </w:p>
    <w:p w:rsidR="00987C64" w:rsidRPr="00987C64" w:rsidRDefault="00987C64" w:rsidP="00987C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E6E6E"/>
          <w:sz w:val="32"/>
          <w:szCs w:val="32"/>
          <w:lang w:eastAsia="it-IT"/>
        </w:rPr>
      </w:pPr>
      <w:r w:rsidRPr="00987C64">
        <w:rPr>
          <w:rFonts w:eastAsia="Times New Roman" w:cstheme="minorHAnsi"/>
          <w:color w:val="6E6E6E"/>
          <w:sz w:val="32"/>
          <w:szCs w:val="32"/>
          <w:lang w:eastAsia="it-IT"/>
        </w:rPr>
        <w:t> </w:t>
      </w:r>
    </w:p>
    <w:p w:rsidR="00987C64" w:rsidRPr="004E2C79" w:rsidRDefault="00987C64" w:rsidP="00987C64">
      <w:pPr>
        <w:shd w:val="clear" w:color="auto" w:fill="FFFFFF"/>
        <w:spacing w:after="0" w:line="240" w:lineRule="auto"/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4E2C79">
        <w:rPr>
          <w:rFonts w:cstheme="minorHAnsi"/>
          <w:color w:val="222222"/>
          <w:sz w:val="32"/>
          <w:szCs w:val="32"/>
          <w:shd w:val="clear" w:color="auto" w:fill="FFFFFF"/>
        </w:rPr>
        <w:t>«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Olim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humani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artus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cum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ventrem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otiosum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cernerent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, ab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eo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discordarunt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conspiraruntque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ne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manus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ad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os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cibum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ferrent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nec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os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acciperet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datum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nec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dentes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conficerent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. At dum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ventrem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domare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volunt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ipsi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quoque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defecerunt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totumque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corpus ad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extremam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tabem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venit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: inde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apparuit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ventris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haud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segne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ministerium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esse,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eumque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acceptos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cibos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per omnia membra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disserere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, et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cum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eo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in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gratiam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redierunt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. Sic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senatus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et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populus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quasi unum corpus discordia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pereunt</w:t>
      </w:r>
      <w:proofErr w:type="spellEnd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 xml:space="preserve"> concordia </w:t>
      </w:r>
      <w:proofErr w:type="spellStart"/>
      <w:r w:rsidRPr="004E2C79">
        <w:rPr>
          <w:rFonts w:cstheme="minorHAnsi"/>
          <w:i/>
          <w:color w:val="222222"/>
          <w:sz w:val="32"/>
          <w:szCs w:val="32"/>
          <w:shd w:val="clear" w:color="auto" w:fill="FFFFFF"/>
        </w:rPr>
        <w:t>valent</w:t>
      </w:r>
      <w:proofErr w:type="spellEnd"/>
      <w:r w:rsidRPr="004E2C79">
        <w:rPr>
          <w:rFonts w:cstheme="minorHAnsi"/>
          <w:color w:val="222222"/>
          <w:sz w:val="32"/>
          <w:szCs w:val="32"/>
          <w:shd w:val="clear" w:color="auto" w:fill="FFFFFF"/>
        </w:rPr>
        <w:t>.»</w:t>
      </w:r>
    </w:p>
    <w:p w:rsidR="00987C64" w:rsidRPr="004E2C79" w:rsidRDefault="00987C64" w:rsidP="00987C64">
      <w:pPr>
        <w:shd w:val="clear" w:color="auto" w:fill="FFFFFF"/>
        <w:spacing w:after="0" w:line="240" w:lineRule="auto"/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</w:p>
    <w:p w:rsidR="00987C64" w:rsidRPr="00987C64" w:rsidRDefault="00987C64" w:rsidP="00987C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E6E6E"/>
          <w:sz w:val="32"/>
          <w:szCs w:val="32"/>
          <w:lang w:eastAsia="it-IT"/>
        </w:rPr>
      </w:pPr>
      <w:r w:rsidRPr="00987C64">
        <w:rPr>
          <w:rFonts w:eastAsia="Times New Roman" w:cstheme="minorHAnsi"/>
          <w:color w:val="6E6E6E"/>
          <w:sz w:val="32"/>
          <w:szCs w:val="32"/>
          <w:lang w:eastAsia="it-IT"/>
        </w:rPr>
        <w:t> </w:t>
      </w:r>
      <w:r w:rsidRPr="004E2C79">
        <w:rPr>
          <w:rFonts w:cstheme="minorHAnsi"/>
          <w:color w:val="222222"/>
          <w:sz w:val="32"/>
          <w:szCs w:val="32"/>
          <w:shd w:val="clear" w:color="auto" w:fill="FFFFFF"/>
        </w:rPr>
        <w:t>«Una volta, le membra dell’uomo, constatando che lo stomaco se ne stava ozioso [ad attendere cibo], ruppero con lui gli accordi e cospirarono tra loro, decidendo che le mani non portassero cibo alla bocca, né che, portatolo, la bocca lo accettasse, né che i denti lo confezionassero a dovere. Ma mentre intendevano domare lo stomaco, a indebolirsi furono anche loro stesse, e il corpo intero giunse a deperimento estremo. Di qui apparve che l’ufficio dello stomaco non è quello di un pigro, ma che, una volta accolti, distribuisce i cibi per tutte le membra. E quindi tornarono in amicizia con lui. Così senato e popolo, come fossero un unico corpo, con la discordia periscono, con la concordia rimangono in salute.»</w:t>
      </w:r>
    </w:p>
    <w:p w:rsidR="00987C64" w:rsidRPr="00987C64" w:rsidRDefault="00987C64" w:rsidP="00987C6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E6E6E"/>
          <w:sz w:val="32"/>
          <w:szCs w:val="32"/>
          <w:lang w:eastAsia="it-IT"/>
        </w:rPr>
      </w:pPr>
      <w:r w:rsidRPr="00987C64">
        <w:rPr>
          <w:rFonts w:eastAsia="Times New Roman" w:cstheme="minorHAnsi"/>
          <w:color w:val="6E6E6E"/>
          <w:sz w:val="32"/>
          <w:szCs w:val="32"/>
          <w:lang w:eastAsia="it-IT"/>
        </w:rPr>
        <w:t> </w:t>
      </w:r>
    </w:p>
    <w:sectPr w:rsidR="00987C64" w:rsidRPr="00987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64"/>
    <w:rsid w:val="004E2C79"/>
    <w:rsid w:val="00830F38"/>
    <w:rsid w:val="00987C64"/>
    <w:rsid w:val="00D8673E"/>
    <w:rsid w:val="00F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3FC9"/>
  <w15:chartTrackingRefBased/>
  <w15:docId w15:val="{669462D7-DEAF-4D72-8A46-4D063175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8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6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m.baccari</dc:creator>
  <cp:keywords/>
  <dc:description/>
  <cp:lastModifiedBy>m.baccari</cp:lastModifiedBy>
  <cp:revision>2</cp:revision>
  <dcterms:created xsi:type="dcterms:W3CDTF">2020-04-24T19:41:00Z</dcterms:created>
  <dcterms:modified xsi:type="dcterms:W3CDTF">2020-04-24T20:10:00Z</dcterms:modified>
</cp:coreProperties>
</file>