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2A654" w14:textId="54645323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bookmarkStart w:id="0" w:name="34.7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34.7.0.</w:t>
      </w:r>
      <w:bookmarkEnd w:id="0"/>
      <w:r w:rsidR="00AE0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 De </w:t>
      </w:r>
      <w:proofErr w:type="spellStart"/>
      <w:r w:rsidR="00AE0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regula</w:t>
      </w:r>
      <w:proofErr w:type="spellEnd"/>
      <w:r w:rsidR="00AE0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="00AE0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  <w:t>Catoniana</w:t>
      </w:r>
      <w:bookmarkStart w:id="1" w:name="_GoBack"/>
      <w:bookmarkEnd w:id="1"/>
      <w:proofErr w:type="spellEnd"/>
    </w:p>
    <w:p w14:paraId="63B3C4B9" w14:textId="77777777" w:rsidR="00F245C1" w:rsidRPr="00F245C1" w:rsidRDefault="00621AF6" w:rsidP="00F24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D5902B4">
          <v:rect id="_x0000_i1025" style="width:451.3pt;height:1pt" o:hralign="center" o:hrstd="t" o:hrnoshade="t" o:hr="t" fillcolor="black" stroked="f"/>
        </w:pict>
      </w:r>
    </w:p>
    <w:p w14:paraId="028EE6BF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  </w:t>
      </w:r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br/>
      </w:r>
      <w:bookmarkStart w:id="2" w:name="34.7.1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34.7.1</w:t>
      </w:r>
      <w:bookmarkEnd w:id="2"/>
    </w:p>
    <w:p w14:paraId="3F36D254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Celsus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 xml:space="preserve"> libro 35 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digestorum</w:t>
      </w:r>
      <w:proofErr w:type="spellEnd"/>
    </w:p>
    <w:p w14:paraId="352FA90D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bookmarkStart w:id="3" w:name="34.7.1.pr.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pr.</w:t>
      </w:r>
      <w:bookmarkEnd w:id="3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 Catoniana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regula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sic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definit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quod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si testamenti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facti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tempore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decessisset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testator, inutile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foret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id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legatum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quandocumque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decesserit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non valere.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Quae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definitio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in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quibusdam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falsa est.</w:t>
      </w:r>
    </w:p>
    <w:p w14:paraId="00751B9D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bookmarkStart w:id="4" w:name="34.7.1.1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1.</w:t>
      </w:r>
      <w:bookmarkEnd w:id="4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 Quid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enim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si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quis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ita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legaverit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: "Si post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kalendas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mortuus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fuero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Titio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dato?" An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cavillamur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?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Nam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hoc modo si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statim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mortuus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fuerit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non esse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datum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legatum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verius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est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quam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inutiliter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datum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.</w:t>
      </w:r>
    </w:p>
    <w:p w14:paraId="23A09115" w14:textId="26424C10" w:rsidR="008E735E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bookmarkStart w:id="5" w:name="34.7.1.2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2.</w:t>
      </w:r>
      <w:bookmarkEnd w:id="5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 Item si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tibi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legatus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est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fundus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qui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scribendi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testamenti tempore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tuus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est, si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eum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vivo testatore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alienaveris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legatum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tibi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debetur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quod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non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deberetur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si testator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statim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decessisset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.</w:t>
      </w:r>
    </w:p>
    <w:p w14:paraId="2C043F59" w14:textId="78822315" w:rsidR="00DD0C80" w:rsidRPr="00DD0C80" w:rsidRDefault="00DD0C80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Celso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nel libro 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trentacinqu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esimo dei 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Dig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esti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</w:t>
      </w:r>
    </w:p>
    <w:p w14:paraId="72BE4961" w14:textId="77777777" w:rsidR="00B461A5" w:rsidRDefault="00DD0C80" w:rsidP="00BC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L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a regola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catoniana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definisce così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: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quel 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&lt;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legato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&gt;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che sarebbe invalido se il testatore fosse morto al momento della redazione del testamento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,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in qualsiasi momento egli muoia non è valido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. T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ale definizione in taluni casi è falsa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. </w:t>
      </w:r>
    </w:p>
    <w:p w14:paraId="136AC61E" w14:textId="77777777" w:rsidR="00B461A5" w:rsidRDefault="00DD0C80" w:rsidP="00BC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1. C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he accade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,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dunque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,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se uno leg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ò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così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: «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se io sarò morto dopo le calende sia dato a 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T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izio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?».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D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obbiamo cavillare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?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I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nfatti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, </w:t>
      </w:r>
      <w:r w:rsidR="00455CC2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secondo tale definizione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, è più vero che se egli fosse morto subito,</w:t>
      </w:r>
      <w:r w:rsidRPr="00BA0C1B">
        <w:rPr>
          <w:lang w:val="it-IT"/>
        </w:rPr>
        <w:t xml:space="preserve"> </w:t>
      </w:r>
      <w:r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il legato non sarebbe stato dato. </w:t>
      </w:r>
    </w:p>
    <w:p w14:paraId="00076A61" w14:textId="09120587" w:rsidR="008E735E" w:rsidRPr="00BC23E2" w:rsidRDefault="008A17C6" w:rsidP="00BC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2. </w:t>
      </w:r>
      <w:r w:rsidR="00DD0C80" w:rsidRPr="00DD0C80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Parimenti, se ti è stato legato un fondo, che al momento della scrittura del testamento è tuo, se tu lo avrai alienato mentre era ancora vivo il testatore, il legato, che non ti sarebbe stato dovuto, se il testatore fosse morto subito ti sarà dovuto.</w:t>
      </w:r>
    </w:p>
    <w:p w14:paraId="4B4894F9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bookmarkStart w:id="6" w:name="34.7.2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34.7.2</w:t>
      </w:r>
      <w:bookmarkEnd w:id="6"/>
    </w:p>
    <w:p w14:paraId="3A87F381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Paulus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 xml:space="preserve"> libro quarto ad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Plautium</w:t>
      </w:r>
      <w:proofErr w:type="spellEnd"/>
    </w:p>
    <w:p w14:paraId="4E0544A3" w14:textId="266797F0" w:rsidR="008E735E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Sed et si sic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legaverit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: "si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filia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mea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Titio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nupta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erit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",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sufficere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visum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est, si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mortis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tempore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nupta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inveniatur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, licet testamenti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facti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tempore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fuerit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impubes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.</w:t>
      </w:r>
    </w:p>
    <w:p w14:paraId="21EA0333" w14:textId="5B69BF7B" w:rsidR="00BC23E2" w:rsidRPr="00BC23E2" w:rsidRDefault="00BC23E2" w:rsidP="00BC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bookmarkStart w:id="7" w:name="_Hlk98002442"/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Paolo nel libro quarto a </w:t>
      </w:r>
      <w:proofErr w:type="spellStart"/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Plauzio</w:t>
      </w:r>
      <w:proofErr w:type="spellEnd"/>
    </w:p>
    <w:bookmarkEnd w:id="7"/>
    <w:p w14:paraId="17242AFA" w14:textId="77777777" w:rsidR="00BC23E2" w:rsidRPr="00BC23E2" w:rsidRDefault="00BC23E2" w:rsidP="00BC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lastRenderedPageBreak/>
        <w:t>Ma anche se uno legò così: «se mia figlia andrà in sposa a Tizio» si è considerato sufficiente se ella si trovi ad essere sposata al tempo della morte del testatore anche se sia stata impubere al tempo della morte &lt;del testatore&gt;.</w:t>
      </w:r>
    </w:p>
    <w:p w14:paraId="5C4FF1E1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bookmarkStart w:id="8" w:name="34.7.3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34.7.3</w:t>
      </w:r>
      <w:bookmarkEnd w:id="8"/>
    </w:p>
    <w:p w14:paraId="01FF3E20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Papinianus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 xml:space="preserve"> libro 15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quaestionum</w:t>
      </w:r>
      <w:proofErr w:type="spellEnd"/>
    </w:p>
    <w:p w14:paraId="37FF0EFE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Catoniana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regula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non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pertinet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ad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hereditates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neque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ad ea legata, quorum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dies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non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mortis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tempore,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sed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post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aditam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cedit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hereditatem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.</w:t>
      </w:r>
    </w:p>
    <w:p w14:paraId="7F9747F4" w14:textId="77777777" w:rsidR="00BC23E2" w:rsidRPr="00BC23E2" w:rsidRDefault="00BC23E2" w:rsidP="00BC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bookmarkStart w:id="9" w:name="34.7.4"/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Papiniano nel libro quindicesimo delle questioni </w:t>
      </w:r>
    </w:p>
    <w:p w14:paraId="69B04D9B" w14:textId="09950E41" w:rsidR="00BC23E2" w:rsidRPr="00BC23E2" w:rsidRDefault="00BC23E2" w:rsidP="00BC23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La regola catoniana non riguarda né l’eredità n</w:t>
      </w:r>
      <w:r w:rsidR="002F48A1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é</w:t>
      </w:r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quei legati per i quali il giorno in cui cominciano ad essere dovuti cade non al momento della morte, ma nel momento successivo all’accettazione dell’eredità. </w:t>
      </w:r>
    </w:p>
    <w:p w14:paraId="4EEEF70C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34.7.4</w:t>
      </w:r>
      <w:bookmarkEnd w:id="9"/>
    </w:p>
    <w:p w14:paraId="408870DC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Ulpianus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 xml:space="preserve"> libro decimo ad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Sabinum</w:t>
      </w:r>
      <w:proofErr w:type="spellEnd"/>
    </w:p>
    <w:p w14:paraId="4D5E782B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Placet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Catonis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regulam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ad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condicionales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institutiones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non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pertinere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.</w:t>
      </w:r>
    </w:p>
    <w:p w14:paraId="7CCA7F1A" w14:textId="77777777" w:rsidR="002F48A1" w:rsidRPr="002F48A1" w:rsidRDefault="002F48A1" w:rsidP="002F4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bookmarkStart w:id="10" w:name="34.7.5"/>
      <w:r w:rsidRPr="002F48A1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Ulpiano nel libro decimo a Sabino</w:t>
      </w:r>
    </w:p>
    <w:p w14:paraId="7F7B05B9" w14:textId="77777777" w:rsidR="002F48A1" w:rsidRPr="002F48A1" w:rsidRDefault="002F48A1" w:rsidP="002F4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2F48A1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Pare bene che la regola catoniana non si applica alle istituzioni di erede sotto condizione.</w:t>
      </w:r>
    </w:p>
    <w:p w14:paraId="3C34F811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34.7.5</w:t>
      </w:r>
      <w:bookmarkEnd w:id="10"/>
    </w:p>
    <w:p w14:paraId="571D73F9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Ulpianus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 xml:space="preserve"> libro 22 ad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it-IT" w:eastAsia="en-GB"/>
        </w:rPr>
        <w:t>Sabinum</w:t>
      </w:r>
      <w:proofErr w:type="spellEnd"/>
    </w:p>
    <w:p w14:paraId="1FF70275" w14:textId="77777777" w:rsid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Regula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Catoniana ad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novas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leges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 xml:space="preserve"> non </w:t>
      </w:r>
      <w:proofErr w:type="spellStart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pertinet</w:t>
      </w:r>
      <w:proofErr w:type="spellEnd"/>
      <w:r w:rsidRPr="00F24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.</w:t>
      </w:r>
    </w:p>
    <w:p w14:paraId="5FEC68A7" w14:textId="699DDBCD" w:rsidR="008A17C6" w:rsidRPr="008A17C6" w:rsidRDefault="008A17C6" w:rsidP="008A17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8A17C6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Ulpiano nel libro ventiduesimo a Sabino </w:t>
      </w:r>
    </w:p>
    <w:p w14:paraId="622604AA" w14:textId="7A720F0C" w:rsidR="00F245C1" w:rsidRPr="008A17C6" w:rsidRDefault="008A17C6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8A17C6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La regola catoniana non si applica &lt;ai casi disciplinati&gt; da leggi nuove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.</w:t>
      </w:r>
    </w:p>
    <w:p w14:paraId="678DD681" w14:textId="77777777" w:rsidR="00E81F28" w:rsidRPr="00E81F28" w:rsidRDefault="00E81F28" w:rsidP="00E81F2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E81F28">
        <w:rPr>
          <w:rFonts w:ascii="Times New Roman" w:hAnsi="Times New Roman" w:cs="Times New Roman"/>
          <w:b/>
          <w:sz w:val="28"/>
          <w:szCs w:val="28"/>
          <w:lang w:val="it-IT"/>
        </w:rPr>
        <w:t>D. 50.17.1</w:t>
      </w:r>
      <w:r w:rsidRPr="00E81F28">
        <w:rPr>
          <w:rFonts w:ascii="Times New Roman" w:hAnsi="Times New Roman" w:cs="Times New Roman"/>
          <w:sz w:val="28"/>
          <w:szCs w:val="28"/>
          <w:lang w:val="it-IT"/>
        </w:rPr>
        <w:t xml:space="preserve"> Paul. 16 </w:t>
      </w:r>
      <w:proofErr w:type="gramStart"/>
      <w:r w:rsidRPr="00E81F28">
        <w:rPr>
          <w:rFonts w:ascii="Times New Roman" w:hAnsi="Times New Roman" w:cs="Times New Roman"/>
          <w:sz w:val="28"/>
          <w:szCs w:val="28"/>
          <w:lang w:val="it-IT"/>
        </w:rPr>
        <w:t>ad</w:t>
      </w:r>
      <w:proofErr w:type="gramEnd"/>
      <w:r w:rsidRPr="00E81F2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sz w:val="28"/>
          <w:szCs w:val="28"/>
          <w:lang w:val="it-IT"/>
        </w:rPr>
        <w:t>Plaut</w:t>
      </w:r>
      <w:proofErr w:type="spellEnd"/>
    </w:p>
    <w:p w14:paraId="476B1085" w14:textId="77777777" w:rsidR="00E81F28" w:rsidRPr="00E81F28" w:rsidRDefault="00E81F28" w:rsidP="00E81F28">
      <w:pPr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Regula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est,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quae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rem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quae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est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breviter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enarrat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. Non ex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regula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ius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sumatur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,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sed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ex iure,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quod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est,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regula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fiat. Per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regulam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igitur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brevis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rerum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narratio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traditur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, et, ut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ait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Sabinus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, quasi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causae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coniectio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est;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quae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simul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cum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in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aliquo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vitiata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est,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perdit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officium</w:t>
      </w:r>
      <w:proofErr w:type="spellEnd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</w:t>
      </w:r>
      <w:proofErr w:type="spellStart"/>
      <w:r w:rsidRPr="00E81F28">
        <w:rPr>
          <w:rFonts w:ascii="Times New Roman" w:hAnsi="Times New Roman" w:cs="Times New Roman"/>
          <w:b/>
          <w:i/>
          <w:sz w:val="28"/>
          <w:szCs w:val="28"/>
          <w:lang w:val="it-IT"/>
        </w:rPr>
        <w:t>suum</w:t>
      </w:r>
      <w:proofErr w:type="spellEnd"/>
      <w:r w:rsidRPr="00E81F28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3B5A0089" w14:textId="4575D612" w:rsidR="00B461A5" w:rsidRPr="00BC23E2" w:rsidRDefault="00B461A5" w:rsidP="00B461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Paolo nel libro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sedicesimo</w:t>
      </w:r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 xml:space="preserve"> a </w:t>
      </w:r>
      <w:proofErr w:type="spellStart"/>
      <w:r w:rsidRPr="00BC23E2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Plauzio</w:t>
      </w:r>
      <w:proofErr w:type="spellEnd"/>
    </w:p>
    <w:p w14:paraId="5C88B741" w14:textId="77777777" w:rsidR="00B461A5" w:rsidRDefault="00B461A5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</w:p>
    <w:p w14:paraId="5F4F01F0" w14:textId="4CA9AEAA" w:rsidR="00F245C1" w:rsidRPr="00B461A5" w:rsidRDefault="008A17C6" w:rsidP="00B461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</w:pPr>
      <w:r w:rsidRPr="00B461A5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La regola è quella la quale brevemente espone la cosa com’è: non affinché dalla reg</w:t>
      </w:r>
      <w:r w:rsidR="00B461A5" w:rsidRPr="00B461A5">
        <w:rPr>
          <w:rFonts w:ascii="Times New Roman" w:eastAsia="Times New Roman" w:hAnsi="Times New Roman" w:cs="Times New Roman"/>
          <w:color w:val="000000"/>
          <w:sz w:val="27"/>
          <w:szCs w:val="27"/>
          <w:lang w:val="it-IT" w:eastAsia="en-GB"/>
        </w:rPr>
        <w:t>ola si deduca il diritto, ma dal diritto che è si stabilisca la regola. Per regola adunque s’intende una breve narrazione delle cose. E, come dice Sabino, è quasi l’argomento ristretto della causa, il quale se viene in qualche parte viziato, perde la sua forma ed autorità.</w:t>
      </w:r>
    </w:p>
    <w:p w14:paraId="750A3C1C" w14:textId="47C82D9E" w:rsid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  <w:t>Bibliografia</w:t>
      </w:r>
    </w:p>
    <w:p w14:paraId="0E86447D" w14:textId="77777777" w:rsidR="00AE07D5" w:rsidRPr="00BA0C1B" w:rsidRDefault="00AE07D5" w:rsidP="00AE07D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</w:pPr>
      <w:proofErr w:type="spellStart"/>
      <w:r w:rsidRPr="00BA0C1B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  <w:t>Corbino</w:t>
      </w:r>
      <w:proofErr w:type="spellEnd"/>
      <w:r w:rsidRPr="00BA0C1B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  <w:t xml:space="preserve">, </w:t>
      </w:r>
      <w:r w:rsidRPr="00BA0C1B">
        <w:rPr>
          <w:rFonts w:ascii="Times New Roman" w:hAnsi="Times New Roman" w:cs="Times New Roman"/>
          <w:sz w:val="28"/>
          <w:szCs w:val="28"/>
          <w:lang w:val="it-IT"/>
        </w:rPr>
        <w:t xml:space="preserve">Caso, diritto e </w:t>
      </w:r>
      <w:proofErr w:type="spellStart"/>
      <w:r w:rsidRPr="00BA0C1B">
        <w:rPr>
          <w:rFonts w:ascii="Times New Roman" w:hAnsi="Times New Roman" w:cs="Times New Roman"/>
          <w:sz w:val="28"/>
          <w:szCs w:val="28"/>
          <w:lang w:val="it-IT"/>
        </w:rPr>
        <w:t>regula</w:t>
      </w:r>
      <w:proofErr w:type="spellEnd"/>
      <w:r w:rsidRPr="00BA0C1B">
        <w:rPr>
          <w:rFonts w:ascii="Times New Roman" w:hAnsi="Times New Roman" w:cs="Times New Roman"/>
          <w:sz w:val="28"/>
          <w:szCs w:val="28"/>
          <w:lang w:val="it-IT"/>
        </w:rPr>
        <w:t xml:space="preserve">. Limiti della funzione normativa del caso </w:t>
      </w:r>
    </w:p>
    <w:p w14:paraId="4FFE1E2A" w14:textId="77777777" w:rsidR="00AE07D5" w:rsidRPr="00BA0C1B" w:rsidRDefault="00AE07D5" w:rsidP="00AE07D5">
      <w:pPr>
        <w:pStyle w:val="Paragrafoelenco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</w:pPr>
      <w:r w:rsidRPr="00BA0C1B">
        <w:rPr>
          <w:rFonts w:ascii="Times New Roman" w:hAnsi="Times New Roman" w:cs="Times New Roman"/>
          <w:sz w:val="28"/>
          <w:szCs w:val="28"/>
          <w:lang w:val="it-IT"/>
        </w:rPr>
        <w:t>deciso nella visione romana</w:t>
      </w:r>
      <w:r>
        <w:rPr>
          <w:rFonts w:ascii="Times New Roman" w:hAnsi="Times New Roman" w:cs="Times New Roman"/>
          <w:sz w:val="28"/>
          <w:szCs w:val="28"/>
          <w:lang w:val="it-IT"/>
        </w:rPr>
        <w:t>, Rida 2014</w:t>
      </w:r>
    </w:p>
    <w:p w14:paraId="62D81848" w14:textId="77777777" w:rsidR="00AE07D5" w:rsidRPr="00BA0C1B" w:rsidRDefault="00AE07D5" w:rsidP="00AE07D5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</w:pPr>
      <w:hyperlink r:id="rId5" w:history="1">
        <w:r w:rsidRPr="00BA0C1B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val="it-IT" w:eastAsia="en-GB"/>
          </w:rPr>
          <w:t>http://local.droit.ulg.ac.be/sa/rida/file/2014/03.ACorbino.pdf</w:t>
        </w:r>
      </w:hyperlink>
    </w:p>
    <w:p w14:paraId="172878FF" w14:textId="77777777" w:rsidR="00AE07D5" w:rsidRPr="00BA0C1B" w:rsidRDefault="00AE07D5" w:rsidP="00AE07D5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</w:pPr>
    </w:p>
    <w:p w14:paraId="3D222B8E" w14:textId="77777777" w:rsidR="00AE07D5" w:rsidRDefault="00AE07D5" w:rsidP="00AE07D5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</w:pPr>
      <w:r w:rsidRPr="00BA0C1B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  <w:t xml:space="preserve">Ignazio Buti, Brevi note sulla </w:t>
      </w:r>
      <w:proofErr w:type="spellStart"/>
      <w:r w:rsidRPr="00BA0C1B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  <w:t>regula</w:t>
      </w:r>
      <w:proofErr w:type="spellEnd"/>
      <w:r w:rsidRPr="00BA0C1B"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  <w:t xml:space="preserve"> Catoniana (a proposito di Gai 2.224)</w:t>
      </w:r>
    </w:p>
    <w:p w14:paraId="568BA0CD" w14:textId="77777777" w:rsidR="00AE07D5" w:rsidRDefault="00AE07D5" w:rsidP="00AE07D5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</w:pPr>
    </w:p>
    <w:p w14:paraId="4A6A08E2" w14:textId="62EDC42B" w:rsidR="00AE07D5" w:rsidRPr="00AE07D5" w:rsidRDefault="00AE07D5" w:rsidP="00AE07D5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val="it-IT" w:eastAsia="en-GB"/>
        </w:rPr>
      </w:pPr>
      <w:r w:rsidRPr="00AE07D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it-IT"/>
        </w:rPr>
        <w:t>C.A. CANNATA, Non </w:t>
      </w:r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 xml:space="preserve">ex </w:t>
      </w:r>
      <w:proofErr w:type="spellStart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>regula</w:t>
      </w:r>
      <w:proofErr w:type="spellEnd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>ius</w:t>
      </w:r>
      <w:proofErr w:type="spellEnd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>sumatur</w:t>
      </w:r>
      <w:proofErr w:type="spellEnd"/>
      <w:r w:rsidRPr="00AE07D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it-IT"/>
        </w:rPr>
        <w:t>, </w:t>
      </w:r>
      <w:proofErr w:type="spellStart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>sed</w:t>
      </w:r>
      <w:proofErr w:type="spellEnd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 xml:space="preserve"> ex iure </w:t>
      </w:r>
      <w:proofErr w:type="spellStart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>quod</w:t>
      </w:r>
      <w:proofErr w:type="spellEnd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 xml:space="preserve"> est </w:t>
      </w:r>
      <w:proofErr w:type="spellStart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>regula</w:t>
      </w:r>
      <w:proofErr w:type="spellEnd"/>
      <w:r w:rsidRPr="00AE07D5">
        <w:rPr>
          <w:rStyle w:val="Enfasicorsivo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  <w:lang w:val="it-IT"/>
        </w:rPr>
        <w:t xml:space="preserve"> fiat</w:t>
      </w:r>
      <w:r w:rsidRPr="00AE07D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it-IT"/>
        </w:rPr>
        <w:t>: alcune osservazioni su di un passo del Digesto (Paul. D. 50, 17, 1), in </w:t>
      </w:r>
      <w:proofErr w:type="spellStart"/>
      <w:r w:rsidRPr="00AE07D5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val="it-IT" w:eastAsia="en-GB"/>
        </w:rPr>
        <w:t>Nomen</w:t>
      </w:r>
      <w:proofErr w:type="spellEnd"/>
      <w:r w:rsidRPr="00AE07D5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val="it-IT" w:eastAsia="en-GB"/>
        </w:rPr>
        <w:t xml:space="preserve"> </w:t>
      </w:r>
      <w:proofErr w:type="spellStart"/>
      <w:proofErr w:type="gramStart"/>
      <w:r w:rsidRPr="00AE07D5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val="it-IT" w:eastAsia="en-GB"/>
        </w:rPr>
        <w:t>Latinum</w:t>
      </w:r>
      <w:proofErr w:type="spellEnd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> :</w:t>
      </w:r>
      <w:proofErr w:type="gramEnd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> </w:t>
      </w:r>
      <w:r w:rsidRPr="00AE07D5">
        <w:rPr>
          <w:rFonts w:ascii="Times New Roman" w:eastAsia="Times New Roman" w:hAnsi="Times New Roman" w:cs="Times New Roman"/>
          <w:b/>
          <w:bCs/>
          <w:color w:val="5F6368"/>
          <w:sz w:val="24"/>
          <w:szCs w:val="24"/>
          <w:lang w:val="it-IT" w:eastAsia="en-GB"/>
        </w:rPr>
        <w:t>mélanges</w:t>
      </w:r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 xml:space="preserve"> de langue, de </w:t>
      </w:r>
      <w:proofErr w:type="spellStart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>littérature</w:t>
      </w:r>
      <w:proofErr w:type="spellEnd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 xml:space="preserve"> et de </w:t>
      </w:r>
      <w:proofErr w:type="spellStart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>civilisation</w:t>
      </w:r>
      <w:proofErr w:type="spellEnd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 xml:space="preserve"> </w:t>
      </w:r>
      <w:proofErr w:type="spellStart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>latines</w:t>
      </w:r>
      <w:proofErr w:type="spellEnd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 xml:space="preserve"> : </w:t>
      </w:r>
      <w:proofErr w:type="spellStart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>offerts</w:t>
      </w:r>
      <w:proofErr w:type="spellEnd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 xml:space="preserve"> </w:t>
      </w:r>
      <w:proofErr w:type="spellStart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>au</w:t>
      </w:r>
      <w:proofErr w:type="spellEnd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val="it-IT" w:eastAsia="en-GB"/>
        </w:rPr>
        <w:t xml:space="preserve"> ... </w:t>
      </w:r>
      <w:proofErr w:type="spellStart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eastAsia="en-GB"/>
        </w:rPr>
        <w:t>Geneve</w:t>
      </w:r>
      <w:proofErr w:type="spellEnd"/>
      <w:r w:rsidRPr="00AE07D5">
        <w:rPr>
          <w:rFonts w:ascii="Times New Roman" w:eastAsia="Times New Roman" w:hAnsi="Times New Roman" w:cs="Times New Roman"/>
          <w:color w:val="4D5156"/>
          <w:sz w:val="24"/>
          <w:szCs w:val="24"/>
          <w:lang w:eastAsia="en-GB"/>
        </w:rPr>
        <w:t xml:space="preserve"> 1997</w:t>
      </w:r>
    </w:p>
    <w:p w14:paraId="42E4464E" w14:textId="77777777" w:rsidR="00AE07D5" w:rsidRPr="00AE07D5" w:rsidRDefault="00AE07D5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</w:p>
    <w:p w14:paraId="24B0FBE7" w14:textId="77777777" w:rsidR="00F245C1" w:rsidRPr="00AE07D5" w:rsidRDefault="00621AF6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  <w:hyperlink r:id="rId6" w:history="1">
        <w:r w:rsidR="00F245C1" w:rsidRPr="00AE07D5">
          <w:rPr>
            <w:rStyle w:val="Collegamentoipertestuale"/>
            <w:rFonts w:ascii="Times New Roman" w:eastAsia="Times New Roman" w:hAnsi="Times New Roman" w:cs="Times New Roman"/>
            <w:b/>
            <w:bCs/>
            <w:sz w:val="27"/>
            <w:szCs w:val="27"/>
            <w:lang w:eastAsia="en-GB"/>
          </w:rPr>
          <w:t>http://www.antonioguarino.it/wp-content/uploads/2016/12/Pagine-di-diritto-romano-V-La-giurisprudenza-e-i-giuristi-Giavoleno-e-le-definizioni.pdf</w:t>
        </w:r>
      </w:hyperlink>
    </w:p>
    <w:p w14:paraId="34BC9EF7" w14:textId="77777777" w:rsidR="00F245C1" w:rsidRPr="00AE07D5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GB"/>
        </w:rPr>
      </w:pPr>
    </w:p>
    <w:p w14:paraId="432B3F99" w14:textId="010DBD47" w:rsidR="00F245C1" w:rsidRDefault="00621AF6" w:rsidP="00F245C1">
      <w:pPr>
        <w:shd w:val="clear" w:color="auto" w:fill="FFFFFF"/>
        <w:spacing w:before="100" w:beforeAutospacing="1" w:after="100" w:afterAutospacing="1" w:line="240" w:lineRule="auto"/>
        <w:rPr>
          <w:rStyle w:val="Collegamentoipertestuale"/>
          <w:rFonts w:ascii="Times New Roman" w:eastAsia="Times New Roman" w:hAnsi="Times New Roman" w:cs="Times New Roman"/>
          <w:b/>
          <w:bCs/>
          <w:sz w:val="27"/>
          <w:szCs w:val="27"/>
          <w:lang w:val="it-IT" w:eastAsia="en-GB"/>
        </w:rPr>
      </w:pPr>
      <w:hyperlink r:id="rId7" w:history="1">
        <w:r w:rsidR="00F245C1" w:rsidRPr="009F54FC">
          <w:rPr>
            <w:rStyle w:val="Collegamentoipertestuale"/>
            <w:rFonts w:ascii="Times New Roman" w:eastAsia="Times New Roman" w:hAnsi="Times New Roman" w:cs="Times New Roman"/>
            <w:b/>
            <w:bCs/>
            <w:sz w:val="27"/>
            <w:szCs w:val="27"/>
            <w:lang w:val="it-IT" w:eastAsia="en-GB"/>
          </w:rPr>
          <w:t>http://www.antonioguarino.it/wp-content/uploads/2016/12/Pagine-di-diritto-romano-V-La-giurisprudenza-e-i-giuristi-Catone-giureconsulto.pdf</w:t>
        </w:r>
      </w:hyperlink>
    </w:p>
    <w:tbl>
      <w:tblPr>
        <w:tblW w:w="15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4"/>
        <w:gridCol w:w="3186"/>
      </w:tblGrid>
      <w:tr w:rsidR="00BA0C1B" w:rsidRPr="00AE07D5" w14:paraId="069BFFF8" w14:textId="77777777" w:rsidTr="00BA0C1B">
        <w:trPr>
          <w:gridAfter w:val="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14:paraId="3226359D" w14:textId="77777777" w:rsidR="00BA0C1B" w:rsidRDefault="00BA0C1B" w:rsidP="00BA0C1B">
            <w:pPr>
              <w:pStyle w:val="Paragrafoelenco"/>
              <w:spacing w:after="0" w:line="240" w:lineRule="auto"/>
              <w:ind w:left="1080"/>
              <w:rPr>
                <w:rFonts w:ascii="Arial" w:eastAsia="Times New Roman" w:hAnsi="Arial" w:cs="Arial"/>
                <w:color w:val="333333"/>
                <w:sz w:val="18"/>
                <w:szCs w:val="18"/>
                <w:lang w:val="it-IT" w:eastAsia="en-GB"/>
              </w:rPr>
            </w:pPr>
          </w:p>
          <w:p w14:paraId="14F621CC" w14:textId="77777777" w:rsidR="00BA0C1B" w:rsidRDefault="00BA0C1B" w:rsidP="00BA0C1B">
            <w:pPr>
              <w:pStyle w:val="Paragrafoelenco"/>
              <w:spacing w:after="0" w:line="240" w:lineRule="auto"/>
              <w:ind w:left="1080"/>
              <w:rPr>
                <w:rFonts w:ascii="Arial" w:eastAsia="Times New Roman" w:hAnsi="Arial" w:cs="Arial"/>
                <w:color w:val="333333"/>
                <w:sz w:val="18"/>
                <w:szCs w:val="18"/>
                <w:lang w:val="it-IT" w:eastAsia="en-GB"/>
              </w:rPr>
            </w:pPr>
          </w:p>
          <w:p w14:paraId="064E583E" w14:textId="28DEA239" w:rsidR="00BA0C1B" w:rsidRPr="00BA0C1B" w:rsidRDefault="00BA0C1B" w:rsidP="00BA0C1B">
            <w:pPr>
              <w:pStyle w:val="Paragrafoelenco"/>
              <w:spacing w:after="0" w:line="240" w:lineRule="auto"/>
              <w:ind w:left="1080"/>
              <w:rPr>
                <w:rFonts w:ascii="Arial" w:eastAsia="Times New Roman" w:hAnsi="Arial" w:cs="Arial"/>
                <w:color w:val="333333"/>
                <w:sz w:val="18"/>
                <w:szCs w:val="18"/>
                <w:lang w:val="it-IT" w:eastAsia="en-GB"/>
              </w:rPr>
            </w:pPr>
          </w:p>
        </w:tc>
      </w:tr>
      <w:tr w:rsidR="00BA0C1B" w:rsidRPr="00BA0C1B" w14:paraId="480EB491" w14:textId="77777777" w:rsidTr="00AE07D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29B77E79" w14:textId="2F29FF3D" w:rsidR="00BA0C1B" w:rsidRPr="00BA0C1B" w:rsidRDefault="00BA0C1B" w:rsidP="00BA0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it-IT"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14:paraId="7F7BB654" w14:textId="45A4C9FD" w:rsidR="00BA0C1B" w:rsidRPr="00BA0C1B" w:rsidRDefault="00BA0C1B" w:rsidP="00BA0C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</w:tr>
    </w:tbl>
    <w:p w14:paraId="0722F8A1" w14:textId="77777777" w:rsidR="00BA0C1B" w:rsidRDefault="00BA0C1B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</w:p>
    <w:p w14:paraId="6D33B090" w14:textId="77777777" w:rsidR="00F245C1" w:rsidRPr="00F245C1" w:rsidRDefault="00F245C1" w:rsidP="00F245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it-IT" w:eastAsia="en-GB"/>
        </w:rPr>
      </w:pPr>
    </w:p>
    <w:p w14:paraId="7309784C" w14:textId="77777777" w:rsidR="00327894" w:rsidRPr="00F245C1" w:rsidRDefault="00327894">
      <w:pPr>
        <w:rPr>
          <w:lang w:val="it-IT"/>
        </w:rPr>
      </w:pPr>
    </w:p>
    <w:sectPr w:rsidR="00327894" w:rsidRPr="00F24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32"/>
    <w:multiLevelType w:val="hybridMultilevel"/>
    <w:tmpl w:val="A2D0B2FA"/>
    <w:lvl w:ilvl="0" w:tplc="56461DC0">
      <w:start w:val="1"/>
      <w:numFmt w:val="upperRoman"/>
      <w:lvlText w:val="%1."/>
      <w:lvlJc w:val="left"/>
      <w:pPr>
        <w:ind w:left="77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57" w:hanging="360"/>
      </w:pPr>
    </w:lvl>
    <w:lvl w:ilvl="2" w:tplc="0809001B" w:tentative="1">
      <w:start w:val="1"/>
      <w:numFmt w:val="lowerRoman"/>
      <w:lvlText w:val="%3."/>
      <w:lvlJc w:val="right"/>
      <w:pPr>
        <w:ind w:left="8877" w:hanging="180"/>
      </w:pPr>
    </w:lvl>
    <w:lvl w:ilvl="3" w:tplc="0809000F" w:tentative="1">
      <w:start w:val="1"/>
      <w:numFmt w:val="decimal"/>
      <w:lvlText w:val="%4."/>
      <w:lvlJc w:val="left"/>
      <w:pPr>
        <w:ind w:left="9597" w:hanging="360"/>
      </w:pPr>
    </w:lvl>
    <w:lvl w:ilvl="4" w:tplc="08090019" w:tentative="1">
      <w:start w:val="1"/>
      <w:numFmt w:val="lowerLetter"/>
      <w:lvlText w:val="%5."/>
      <w:lvlJc w:val="left"/>
      <w:pPr>
        <w:ind w:left="10317" w:hanging="360"/>
      </w:pPr>
    </w:lvl>
    <w:lvl w:ilvl="5" w:tplc="0809001B" w:tentative="1">
      <w:start w:val="1"/>
      <w:numFmt w:val="lowerRoman"/>
      <w:lvlText w:val="%6."/>
      <w:lvlJc w:val="right"/>
      <w:pPr>
        <w:ind w:left="11037" w:hanging="180"/>
      </w:pPr>
    </w:lvl>
    <w:lvl w:ilvl="6" w:tplc="0809000F" w:tentative="1">
      <w:start w:val="1"/>
      <w:numFmt w:val="decimal"/>
      <w:lvlText w:val="%7."/>
      <w:lvlJc w:val="left"/>
      <w:pPr>
        <w:ind w:left="11757" w:hanging="360"/>
      </w:pPr>
    </w:lvl>
    <w:lvl w:ilvl="7" w:tplc="08090019" w:tentative="1">
      <w:start w:val="1"/>
      <w:numFmt w:val="lowerLetter"/>
      <w:lvlText w:val="%8."/>
      <w:lvlJc w:val="left"/>
      <w:pPr>
        <w:ind w:left="12477" w:hanging="360"/>
      </w:pPr>
    </w:lvl>
    <w:lvl w:ilvl="8" w:tplc="0809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1" w15:restartNumberingAfterBreak="0">
    <w:nsid w:val="4B5A794D"/>
    <w:multiLevelType w:val="hybridMultilevel"/>
    <w:tmpl w:val="BB9E48A8"/>
    <w:lvl w:ilvl="0" w:tplc="120CC0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C1"/>
    <w:rsid w:val="000F04BF"/>
    <w:rsid w:val="002F48A1"/>
    <w:rsid w:val="00327894"/>
    <w:rsid w:val="00455CC2"/>
    <w:rsid w:val="00621AF6"/>
    <w:rsid w:val="008A17C6"/>
    <w:rsid w:val="008E735E"/>
    <w:rsid w:val="00AE07D5"/>
    <w:rsid w:val="00B461A5"/>
    <w:rsid w:val="00BA0C1B"/>
    <w:rsid w:val="00BC23E2"/>
    <w:rsid w:val="00DD0C80"/>
    <w:rsid w:val="00E81F28"/>
    <w:rsid w:val="00F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C0FF"/>
  <w15:chartTrackingRefBased/>
  <w15:docId w15:val="{3F414DF8-A6CA-4507-9413-6577290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1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k">
    <w:name w:val="ak"/>
    <w:basedOn w:val="Normale"/>
    <w:rsid w:val="00F2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F245C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245C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C1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E0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onioguarino.it/wp-content/uploads/2016/12/Pagine-di-diritto-romano-V-La-giurisprudenza-e-i-giuristi-Catone-giureconsul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onioguarino.it/wp-content/uploads/2016/12/Pagine-di-diritto-romano-V-La-giurisprudenza-e-i-giuristi-Giavoleno-e-le-definizioni.pdf" TargetMode="External"/><Relationship Id="rId5" Type="http://schemas.openxmlformats.org/officeDocument/2006/relationships/hyperlink" Target="http://local.droit.ulg.ac.be/sa/rida/file/2014/03.ACorbin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mpia</dc:creator>
  <cp:keywords/>
  <dc:description/>
  <cp:lastModifiedBy>mpia</cp:lastModifiedBy>
  <cp:revision>2</cp:revision>
  <dcterms:created xsi:type="dcterms:W3CDTF">2022-03-14T08:51:00Z</dcterms:created>
  <dcterms:modified xsi:type="dcterms:W3CDTF">2022-03-14T08:51:00Z</dcterms:modified>
</cp:coreProperties>
</file>