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3E814" w14:textId="20D2054E" w:rsidR="00ED6799" w:rsidRPr="008143BA" w:rsidRDefault="008143BA">
      <w:pPr>
        <w:rPr>
          <w:b/>
          <w:bCs/>
        </w:rPr>
      </w:pPr>
      <w:r w:rsidRPr="008143BA">
        <w:rPr>
          <w:b/>
          <w:bCs/>
        </w:rPr>
        <w:t>IL CONTRATTO A TERMINE</w:t>
      </w:r>
    </w:p>
    <w:p w14:paraId="7BB2EAA3" w14:textId="19E062FB" w:rsidR="00AE68D8" w:rsidRDefault="00AE68D8"/>
    <w:p w14:paraId="50420316" w14:textId="7E53627C" w:rsidR="00AE68D8" w:rsidRDefault="00AE68D8">
      <w:r w:rsidRPr="008143BA">
        <w:rPr>
          <w:u w:val="single"/>
        </w:rPr>
        <w:t>Art. 2097</w:t>
      </w:r>
      <w:r>
        <w:t xml:space="preserve"> c.c. termine da atto scritto o da specialità del rapporto </w:t>
      </w:r>
    </w:p>
    <w:p w14:paraId="5FF6220F" w14:textId="2E6C2238" w:rsidR="00AE68D8" w:rsidRDefault="00AE68D8">
      <w:r w:rsidRPr="008143BA">
        <w:rPr>
          <w:u w:val="single"/>
        </w:rPr>
        <w:t>L. 230 del 1962</w:t>
      </w:r>
      <w:r>
        <w:t>- tassatività delle ipotesi</w:t>
      </w:r>
    </w:p>
    <w:p w14:paraId="05697B30" w14:textId="4DA969A7" w:rsidR="00AE68D8" w:rsidRDefault="00AE68D8">
      <w:r w:rsidRPr="008143BA">
        <w:rPr>
          <w:u w:val="single"/>
        </w:rPr>
        <w:t>d. lgs. 368/2001</w:t>
      </w:r>
      <w:r>
        <w:t xml:space="preserve"> introduzione del c.d. causalone</w:t>
      </w:r>
      <w:r w:rsidR="003A7C8F">
        <w:t>- ragioni di carattere organizzativo, produttivo o sostitutivo</w:t>
      </w:r>
    </w:p>
    <w:p w14:paraId="41CCBB6F" w14:textId="315E48B2" w:rsidR="00AE68D8" w:rsidRPr="008143BA" w:rsidRDefault="00AE68D8">
      <w:pPr>
        <w:rPr>
          <w:u w:val="single"/>
        </w:rPr>
      </w:pPr>
      <w:r>
        <w:t xml:space="preserve">liberalizzazione dell’istituto: </w:t>
      </w:r>
      <w:r w:rsidRPr="008143BA">
        <w:rPr>
          <w:u w:val="single"/>
        </w:rPr>
        <w:t xml:space="preserve">l. 92/2012, d.l. 34/2014, </w:t>
      </w:r>
      <w:r w:rsidR="004A7E74" w:rsidRPr="008143BA">
        <w:rPr>
          <w:u w:val="single"/>
        </w:rPr>
        <w:t>d. lgs. 81/2015 (artt. 19-29)</w:t>
      </w:r>
    </w:p>
    <w:p w14:paraId="0917A657" w14:textId="138FB925" w:rsidR="004A7E74" w:rsidRDefault="004A7E74">
      <w:r>
        <w:t xml:space="preserve">Decreto Dignità </w:t>
      </w:r>
      <w:r w:rsidRPr="008143BA">
        <w:rPr>
          <w:u w:val="single"/>
        </w:rPr>
        <w:t>d.l. 87/2018, conv. l. n. 96/2018</w:t>
      </w:r>
      <w:r>
        <w:t>, inversione di rotta.</w:t>
      </w:r>
    </w:p>
    <w:p w14:paraId="0BBE847B" w14:textId="1367617A" w:rsidR="004A7E74" w:rsidRDefault="004A7E74" w:rsidP="004A7E74">
      <w:pPr>
        <w:pStyle w:val="Paragrafoelenco"/>
        <w:numPr>
          <w:ilvl w:val="0"/>
          <w:numId w:val="1"/>
        </w:numPr>
      </w:pPr>
      <w:r>
        <w:t xml:space="preserve">I limiti: </w:t>
      </w:r>
      <w:r w:rsidRPr="008143BA">
        <w:rPr>
          <w:b/>
          <w:bCs/>
        </w:rPr>
        <w:t>forma e causali</w:t>
      </w:r>
    </w:p>
    <w:p w14:paraId="00132E89" w14:textId="5DF3D1DB" w:rsidR="004A7E74" w:rsidRDefault="004A7E74" w:rsidP="004A7E74">
      <w:pPr>
        <w:pStyle w:val="Paragrafoelenco"/>
        <w:numPr>
          <w:ilvl w:val="0"/>
          <w:numId w:val="2"/>
        </w:numPr>
      </w:pPr>
      <w:r>
        <w:t>Requisito formale</w:t>
      </w:r>
      <w:r w:rsidR="00E128C8">
        <w:t>: atto scritto</w:t>
      </w:r>
    </w:p>
    <w:p w14:paraId="6DC69672" w14:textId="594BCCEE" w:rsidR="00E128C8" w:rsidRDefault="00E128C8" w:rsidP="004A7E74">
      <w:pPr>
        <w:pStyle w:val="Paragrafoelenco"/>
        <w:numPr>
          <w:ilvl w:val="0"/>
          <w:numId w:val="2"/>
        </w:numPr>
      </w:pPr>
      <w:r>
        <w:t xml:space="preserve">Causali: </w:t>
      </w:r>
      <w:r w:rsidR="009E1CE6">
        <w:t xml:space="preserve"> tranne che per il primo contratto tra le stesse parti di durata non superiore a 12 mesi </w:t>
      </w:r>
      <w:r>
        <w:t>a) esigenze temporanee ed oggettive, estranee all’ordinaria attività, ovvero esigenze di sostituzione di altri lavoratori; b) esigenze connesse a incrementi temporanei, significativi e non programmabili, dell’attività ordinaria</w:t>
      </w:r>
      <w:r w:rsidR="001A02DD">
        <w:t xml:space="preserve"> (art. 19)</w:t>
      </w:r>
    </w:p>
    <w:p w14:paraId="592389A8" w14:textId="0922897B" w:rsidR="001A02DD" w:rsidRDefault="001A02DD" w:rsidP="001A02DD">
      <w:r w:rsidRPr="008143BA">
        <w:rPr>
          <w:b/>
          <w:bCs/>
        </w:rPr>
        <w:t>Durata massima</w:t>
      </w:r>
      <w:r>
        <w:t xml:space="preserve"> : scende da 36 a 24 mesi</w:t>
      </w:r>
      <w:r w:rsidR="00056025">
        <w:t>, con deroga da parte del contratto collettivo o individuale</w:t>
      </w:r>
    </w:p>
    <w:p w14:paraId="0D00EE0E" w14:textId="156051E7" w:rsidR="00056025" w:rsidRDefault="00056025" w:rsidP="001A02DD">
      <w:r w:rsidRPr="008143BA">
        <w:rPr>
          <w:b/>
          <w:bCs/>
        </w:rPr>
        <w:t>Divieti</w:t>
      </w:r>
      <w:r>
        <w:t xml:space="preserve">: art. 20- sostituzione dei lavoratori in sciopero; </w:t>
      </w:r>
      <w:r w:rsidR="007930E4">
        <w:t>presso unità produttive in cui nei 6 mesi precedenti sono stati effettuati licenziamenti collettivi; nelle unità produttive in cui è in corso la CIG; nelle imprese ove non si sia effettuata la valutazione dei rischi.</w:t>
      </w:r>
    </w:p>
    <w:p w14:paraId="2B32BF25" w14:textId="37F14470" w:rsidR="007930E4" w:rsidRDefault="007930E4" w:rsidP="001A02DD">
      <w:r w:rsidRPr="008143BA">
        <w:rPr>
          <w:b/>
          <w:bCs/>
        </w:rPr>
        <w:t>Proroga</w:t>
      </w:r>
      <w:r>
        <w:t>: Limiti: solo se la durata iniziale è inferiore a 24 mesi</w:t>
      </w:r>
      <w:r w:rsidR="003662E1">
        <w:t>- non più di 4 proroghe.</w:t>
      </w:r>
    </w:p>
    <w:p w14:paraId="3DDB5C26" w14:textId="1351BF9B" w:rsidR="003662E1" w:rsidRDefault="003662E1" w:rsidP="001A02DD">
      <w:r w:rsidRPr="008143BA">
        <w:rPr>
          <w:b/>
          <w:bCs/>
        </w:rPr>
        <w:t>Rinnovo</w:t>
      </w:r>
      <w:r>
        <w:t>: limiti: rispetto di un intervallo minimo</w:t>
      </w:r>
      <w:r w:rsidR="009A124A">
        <w:t>; 10 giorni se il contratto precedente avesse avuto una durata fino a sei mesi, 20 giorni se il contratto avesse avuto una durata superiore a sei mesi</w:t>
      </w:r>
    </w:p>
    <w:p w14:paraId="2820ED42" w14:textId="3CA91433" w:rsidR="003662E1" w:rsidRDefault="003662E1" w:rsidP="001A02DD">
      <w:r w:rsidRPr="00793677">
        <w:rPr>
          <w:b/>
          <w:bCs/>
        </w:rPr>
        <w:t>Continuazione oltre il termine</w:t>
      </w:r>
      <w:r>
        <w:t>: previsione di un periodo di “interregno”</w:t>
      </w:r>
      <w:r w:rsidR="009A124A">
        <w:t>, con maggiorazione del 20% per ogni giorno di continuazione sino a 10 giorni, 40% dall’undicesimo al trentesimo, oltre il trentesimo, se il rapporto continua si considera a tempo indeterminato.</w:t>
      </w:r>
    </w:p>
    <w:p w14:paraId="650FDACB" w14:textId="70522E08" w:rsidR="003662E1" w:rsidRDefault="003662E1" w:rsidP="001A02DD">
      <w:r w:rsidRPr="00793677">
        <w:rPr>
          <w:b/>
          <w:bCs/>
        </w:rPr>
        <w:t>Limiti quantitativi. C.d. clausola di contingentamento</w:t>
      </w:r>
      <w:r w:rsidR="00E0338B">
        <w:t>- art. 23</w:t>
      </w:r>
      <w:r w:rsidR="003B43FF">
        <w:t>, 20% derogabile dalla contrattazione collettiva.  esenzioni: fase di avvia di nuove attività, imprese start up innovative per i primi 4 anni, svolgimento di attività stagionali</w:t>
      </w:r>
      <w:r w:rsidR="00E251B0">
        <w:t>, specifici spettacoli o specifici programmi radiofonici o televisivi, sostituzione di lavoratori assenti, con lavoratori di età superiore a 50 anni.</w:t>
      </w:r>
    </w:p>
    <w:p w14:paraId="2D5BE5C7" w14:textId="2EB53C19" w:rsidR="005965F2" w:rsidRDefault="00793677" w:rsidP="001A02DD">
      <w:r>
        <w:t>DISCIPLINA DEL RAPPORTO</w:t>
      </w:r>
      <w:r w:rsidR="00E0338B">
        <w:t xml:space="preserve">: </w:t>
      </w:r>
    </w:p>
    <w:p w14:paraId="1A980979" w14:textId="5F098896" w:rsidR="005965F2" w:rsidRDefault="00E0338B" w:rsidP="001A02DD">
      <w:r w:rsidRPr="00793677">
        <w:rPr>
          <w:b/>
          <w:bCs/>
        </w:rPr>
        <w:t>parità di trattamento</w:t>
      </w:r>
      <w:r>
        <w:t xml:space="preserve"> – </w:t>
      </w:r>
      <w:r w:rsidR="005965F2">
        <w:t>deve essere assicurato proporzionalmente al tempo lavorato, ferie, gartifica natalizia, tfr e ogni altro trattamento in atto nell’impresa</w:t>
      </w:r>
      <w:r w:rsidR="00D806BD">
        <w:t xml:space="preserve"> per i lavoratori a tempo indeterminato inquadrati nello stesso livello sulla base della classificazione stabilita dalla contrattazione collettiva (c.d. lavoratori comparabili)</w:t>
      </w:r>
    </w:p>
    <w:p w14:paraId="612C37E6" w14:textId="570FB891" w:rsidR="005965F2" w:rsidRDefault="00E0338B" w:rsidP="001A02DD">
      <w:r w:rsidRPr="00793677">
        <w:rPr>
          <w:b/>
          <w:bCs/>
        </w:rPr>
        <w:t>formazione e informazione dei lavoratori</w:t>
      </w:r>
      <w:r w:rsidR="00D806BD">
        <w:t>—affidata alla contrattazione collettiva</w:t>
      </w:r>
    </w:p>
    <w:p w14:paraId="414FFCDD" w14:textId="76B0D800" w:rsidR="003662E1" w:rsidRDefault="00E0338B" w:rsidP="001A02DD">
      <w:r>
        <w:t xml:space="preserve"> </w:t>
      </w:r>
      <w:r w:rsidRPr="00793677">
        <w:rPr>
          <w:b/>
          <w:bCs/>
        </w:rPr>
        <w:t>diritto di precedenza</w:t>
      </w:r>
      <w:r w:rsidR="00D806BD">
        <w:t xml:space="preserve">: se il lavoratore ha svolto attività per più di 6 mesi diritto di precedenza per le assunzioni effettuate </w:t>
      </w:r>
      <w:r w:rsidR="000F05B7">
        <w:t xml:space="preserve">entro i successivi 12 mesi. Limiti: deve essere richiamato espressamente nel contratto individuale, il lavoratore deve manifestare la propria volontà al datore entro sei mesi dalla </w:t>
      </w:r>
      <w:r w:rsidR="000F05B7">
        <w:lastRenderedPageBreak/>
        <w:t>data di cessazione del rapporto e il diritto si estingue decorso un anno dalla data di cessazione del rapporto.</w:t>
      </w:r>
    </w:p>
    <w:p w14:paraId="2CE353FD" w14:textId="1FDBF766" w:rsidR="0087590A" w:rsidRDefault="00793677" w:rsidP="001A02DD">
      <w:r>
        <w:t>DECADENZE ED APPARATO SANZIONATORIO</w:t>
      </w:r>
    </w:p>
    <w:p w14:paraId="15044B37" w14:textId="5B36FA5B" w:rsidR="0087590A" w:rsidRDefault="0087590A" w:rsidP="001A02DD">
      <w:r w:rsidRPr="00793677">
        <w:rPr>
          <w:b/>
          <w:bCs/>
        </w:rPr>
        <w:t>Conversione</w:t>
      </w:r>
      <w:r>
        <w:t>: mancanza di forma scritta, mancanza delle causali ove necessarie, superamento del limite dei 24 mesi, mancato rispetto della procedura di stipula del contratto oltre la soglia dei 24 mesi</w:t>
      </w:r>
      <w:r w:rsidR="00CA3AE1">
        <w:t xml:space="preserve"> presso la DTL- violazione dei divieti- superamento del numero delle proroghe, mancato rispetto degli intervalli, prosecuzione di fatto oltre il periodo di tolleranza previsto dalla legge</w:t>
      </w:r>
      <w:r w:rsidR="00C150C4">
        <w:t>.</w:t>
      </w:r>
    </w:p>
    <w:p w14:paraId="672F6620" w14:textId="458EBD80" w:rsidR="00C150C4" w:rsidRDefault="00C150C4" w:rsidP="001A02DD">
      <w:r w:rsidRPr="00793677">
        <w:rPr>
          <w:b/>
          <w:bCs/>
        </w:rPr>
        <w:t>Impugnazione</w:t>
      </w:r>
      <w:r>
        <w:t>: entro 180 giorni dalla cessazione e deposito del ricorso nei successivi 180 giorni</w:t>
      </w:r>
    </w:p>
    <w:p w14:paraId="527BDECC" w14:textId="7E0FB67F" w:rsidR="00CA3AE1" w:rsidRDefault="00CA3AE1" w:rsidP="001A02DD">
      <w:r w:rsidRPr="00793677">
        <w:rPr>
          <w:b/>
          <w:bCs/>
        </w:rPr>
        <w:t>Recesso ante tempus</w:t>
      </w:r>
      <w:r w:rsidR="00781717">
        <w:t>- illegittimo salvo giusta causa</w:t>
      </w:r>
    </w:p>
    <w:p w14:paraId="3BD91D80" w14:textId="3E3C9681" w:rsidR="00781717" w:rsidRDefault="00781717" w:rsidP="001A02DD">
      <w:r w:rsidRPr="00793677">
        <w:rPr>
          <w:b/>
          <w:bCs/>
        </w:rPr>
        <w:t>Computo</w:t>
      </w:r>
      <w:r>
        <w:t>: ai fini dell’applicazione di qualsiasi disciplina legale o contrattuale in cui rilevi il numero dei dipendenti occupati dal datore di lavoro , occorre tenere conto del numero medio mensile dei lavoratori a termine, occupati negli ultimi due anni dal datore di lavoro sulla base della effettiva durata dei loro rapporti.</w:t>
      </w:r>
    </w:p>
    <w:p w14:paraId="444CA31A" w14:textId="77777777" w:rsidR="00793677" w:rsidRDefault="00793677" w:rsidP="001A02DD">
      <w:r>
        <w:t>ESCLUSIONI E DISCIPLINE SPECIALI</w:t>
      </w:r>
      <w:r w:rsidR="002677FB">
        <w:t>-</w:t>
      </w:r>
    </w:p>
    <w:p w14:paraId="6096B91D" w14:textId="6ECB821E" w:rsidR="00DE4FF9" w:rsidRDefault="002677FB" w:rsidP="001A02DD">
      <w:r>
        <w:t xml:space="preserve"> </w:t>
      </w:r>
      <w:r w:rsidRPr="00793677">
        <w:rPr>
          <w:b/>
          <w:bCs/>
        </w:rPr>
        <w:t>dirigenti</w:t>
      </w:r>
      <w:r>
        <w:t xml:space="preserve"> –</w:t>
      </w:r>
      <w:r w:rsidR="00DE4FF9">
        <w:t xml:space="preserve"> unica previsione</w:t>
      </w:r>
      <w:r w:rsidR="00793677">
        <w:t>:</w:t>
      </w:r>
      <w:r w:rsidR="00DE4FF9">
        <w:t>durata massima del rapporto di 5 anni, con possibilità di dimissioni dopo un triennio</w:t>
      </w:r>
    </w:p>
    <w:p w14:paraId="307F3DF0" w14:textId="7CD4E111" w:rsidR="002677FB" w:rsidRDefault="002677FB" w:rsidP="001A02DD">
      <w:r>
        <w:t xml:space="preserve"> </w:t>
      </w:r>
      <w:r w:rsidRPr="00793677">
        <w:rPr>
          <w:b/>
          <w:bCs/>
        </w:rPr>
        <w:t>pubblico impiego</w:t>
      </w:r>
      <w:r>
        <w:t xml:space="preserve"> (art. </w:t>
      </w:r>
      <w:r w:rsidRPr="00793677">
        <w:rPr>
          <w:u w:val="single"/>
        </w:rPr>
        <w:t>36 d. lgs. n. 165/2001</w:t>
      </w:r>
      <w:r>
        <w:t>).</w:t>
      </w:r>
      <w:r w:rsidR="00DE4FF9">
        <w:t>- consentito solo per rispondere ad esigenze temporanee o eccezionali, no conversione del rapporto ma responsabilità erariale e dirigenziale per i dirigenti che abbiano violato</w:t>
      </w:r>
      <w:r w:rsidR="008143BA">
        <w:t xml:space="preserve"> le norme in materia di assunzione e il risarcimento del danno a favore del lavoratore illegittimamente impiegato.</w:t>
      </w:r>
    </w:p>
    <w:sectPr w:rsidR="002677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D7769"/>
    <w:multiLevelType w:val="hybridMultilevel"/>
    <w:tmpl w:val="D17629B8"/>
    <w:lvl w:ilvl="0" w:tplc="60D4055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A85325"/>
    <w:multiLevelType w:val="hybridMultilevel"/>
    <w:tmpl w:val="D2D4D0F8"/>
    <w:lvl w:ilvl="0" w:tplc="1ABE64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8D8"/>
    <w:rsid w:val="00016ABB"/>
    <w:rsid w:val="00056025"/>
    <w:rsid w:val="000F05B7"/>
    <w:rsid w:val="001A02DD"/>
    <w:rsid w:val="002031FB"/>
    <w:rsid w:val="00264D53"/>
    <w:rsid w:val="002677FB"/>
    <w:rsid w:val="003662E1"/>
    <w:rsid w:val="003A7C8F"/>
    <w:rsid w:val="003B43FF"/>
    <w:rsid w:val="004A7E74"/>
    <w:rsid w:val="00573764"/>
    <w:rsid w:val="005965F2"/>
    <w:rsid w:val="007447EB"/>
    <w:rsid w:val="00781717"/>
    <w:rsid w:val="007930E4"/>
    <w:rsid w:val="00793677"/>
    <w:rsid w:val="008143BA"/>
    <w:rsid w:val="0087590A"/>
    <w:rsid w:val="009A124A"/>
    <w:rsid w:val="009E1CE6"/>
    <w:rsid w:val="00AE68D8"/>
    <w:rsid w:val="00C150C4"/>
    <w:rsid w:val="00C737D4"/>
    <w:rsid w:val="00C75953"/>
    <w:rsid w:val="00CA3AE1"/>
    <w:rsid w:val="00D806BD"/>
    <w:rsid w:val="00DE4FF9"/>
    <w:rsid w:val="00E0338B"/>
    <w:rsid w:val="00E128C8"/>
    <w:rsid w:val="00E251B0"/>
    <w:rsid w:val="00ED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B8DCE"/>
  <w15:chartTrackingRefBased/>
  <w15:docId w15:val="{2761F763-DF11-44BA-BA5F-B6CFB18E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link w:val="Stile1Carattere"/>
    <w:qFormat/>
    <w:rsid w:val="007447EB"/>
  </w:style>
  <w:style w:type="character" w:customStyle="1" w:styleId="Stile1Carattere">
    <w:name w:val="Stile1 Carattere"/>
    <w:basedOn w:val="Carpredefinitoparagrafo"/>
    <w:link w:val="Stile1"/>
    <w:rsid w:val="007447EB"/>
    <w:rPr>
      <w:rFonts w:ascii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4A7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de marco</dc:creator>
  <cp:keywords/>
  <dc:description/>
  <cp:lastModifiedBy>Cinzia</cp:lastModifiedBy>
  <cp:revision>2</cp:revision>
  <dcterms:created xsi:type="dcterms:W3CDTF">2021-03-24T06:55:00Z</dcterms:created>
  <dcterms:modified xsi:type="dcterms:W3CDTF">2021-03-24T06:55:00Z</dcterms:modified>
</cp:coreProperties>
</file>