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E0" w:rsidRDefault="000C50B5">
      <w:pPr>
        <w:rPr>
          <w:sz w:val="28"/>
          <w:szCs w:val="28"/>
        </w:rPr>
      </w:pPr>
      <w:r>
        <w:rPr>
          <w:sz w:val="28"/>
          <w:szCs w:val="28"/>
        </w:rPr>
        <w:t>Ulteriori chiarimenti per la prova intermedia</w:t>
      </w:r>
    </w:p>
    <w:p w:rsidR="000C50B5" w:rsidRDefault="000C50B5">
      <w:pPr>
        <w:rPr>
          <w:sz w:val="28"/>
          <w:szCs w:val="28"/>
        </w:rPr>
      </w:pPr>
    </w:p>
    <w:p w:rsidR="000C50B5" w:rsidRDefault="000C50B5" w:rsidP="000C50B5">
      <w:pPr>
        <w:jc w:val="both"/>
        <w:rPr>
          <w:sz w:val="28"/>
          <w:szCs w:val="28"/>
        </w:rPr>
      </w:pPr>
      <w:r>
        <w:rPr>
          <w:sz w:val="28"/>
          <w:szCs w:val="28"/>
        </w:rPr>
        <w:t>A parziale modifica di quanto precedentemente indicato, si fa presente che anche gli studenti iscritti agli anni successivi al III, e che hanno frequentato il corso, possono sostenere la prova.</w:t>
      </w:r>
    </w:p>
    <w:p w:rsidR="000C50B5" w:rsidRPr="000C50B5" w:rsidRDefault="000C50B5" w:rsidP="000C50B5">
      <w:pPr>
        <w:jc w:val="both"/>
        <w:rPr>
          <w:sz w:val="28"/>
          <w:szCs w:val="28"/>
        </w:rPr>
      </w:pPr>
      <w:bookmarkStart w:id="0" w:name="_GoBack"/>
      <w:bookmarkEnd w:id="0"/>
    </w:p>
    <w:sectPr w:rsidR="000C50B5" w:rsidRPr="000C50B5" w:rsidSect="00F12ACC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B5"/>
    <w:rsid w:val="000C50B5"/>
    <w:rsid w:val="00393439"/>
    <w:rsid w:val="00B804E0"/>
    <w:rsid w:val="00BD34B3"/>
    <w:rsid w:val="00D24B36"/>
    <w:rsid w:val="00F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9AFB"/>
  <w15:chartTrackingRefBased/>
  <w15:docId w15:val="{1C2128CF-B050-455F-8A03-FFC7AE2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2021-01-05T15:52:00Z</dcterms:created>
  <dcterms:modified xsi:type="dcterms:W3CDTF">2021-01-05T15:55:00Z</dcterms:modified>
</cp:coreProperties>
</file>