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636F" w14:textId="2C3C67AA" w:rsidR="00AF1FBC" w:rsidRPr="00B667CE" w:rsidRDefault="00AF1FBC" w:rsidP="00AF1FB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14:paraId="45BE6C92" w14:textId="77777777" w:rsidR="00AF1FBC" w:rsidRPr="00B667CE" w:rsidRDefault="00AF1FBC" w:rsidP="00AF1FB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14:paraId="3557EF50" w14:textId="77777777" w:rsidR="00AF1FBC" w:rsidRPr="00B667CE" w:rsidRDefault="00AF1FBC" w:rsidP="00AF1FBC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B667CE">
        <w:rPr>
          <w:rFonts w:ascii="Verdana" w:hAnsi="Verdana"/>
          <w:b/>
          <w:sz w:val="20"/>
          <w:szCs w:val="20"/>
          <w:u w:val="single"/>
        </w:rPr>
        <w:t>PROGETTO DIDATTICO/FORMATIVO</w:t>
      </w:r>
    </w:p>
    <w:p w14:paraId="0984947A" w14:textId="77777777" w:rsidR="00AF1FBC" w:rsidRPr="00B667CE" w:rsidRDefault="00AF1FBC" w:rsidP="00AF1FBC">
      <w:pPr>
        <w:jc w:val="center"/>
        <w:rPr>
          <w:rFonts w:ascii="Verdana" w:hAnsi="Verdana"/>
          <w:sz w:val="20"/>
          <w:szCs w:val="20"/>
        </w:rPr>
      </w:pPr>
    </w:p>
    <w:p w14:paraId="3E40B994" w14:textId="77777777" w:rsidR="00AF1FBC" w:rsidRPr="00B667CE" w:rsidRDefault="00AF1FBC" w:rsidP="00AF1FBC">
      <w:pPr>
        <w:jc w:val="center"/>
        <w:rPr>
          <w:rFonts w:ascii="Verdana" w:hAnsi="Verdana"/>
          <w:sz w:val="20"/>
          <w:szCs w:val="20"/>
        </w:rPr>
      </w:pPr>
    </w:p>
    <w:p w14:paraId="58A46B1F" w14:textId="15DAFBB8" w:rsidR="00AF1FBC" w:rsidRPr="00F1351A" w:rsidRDefault="00AF1FBC" w:rsidP="00C86DC2">
      <w:pPr>
        <w:ind w:left="142" w:right="113"/>
        <w:jc w:val="both"/>
        <w:rPr>
          <w:rFonts w:ascii="Verdana" w:hAnsi="Verdana"/>
          <w:b/>
          <w:sz w:val="20"/>
          <w:szCs w:val="20"/>
        </w:rPr>
      </w:pPr>
      <w:r w:rsidRPr="00B667CE">
        <w:rPr>
          <w:rFonts w:ascii="Verdana" w:hAnsi="Verdana"/>
          <w:sz w:val="20"/>
          <w:szCs w:val="20"/>
        </w:rPr>
        <w:t xml:space="preserve">É necessario compilare tutti i campi utilizzando il carattere </w:t>
      </w:r>
      <w:r w:rsidRPr="00B667CE">
        <w:rPr>
          <w:rFonts w:ascii="Verdana" w:hAnsi="Verdana"/>
          <w:b/>
          <w:sz w:val="20"/>
          <w:szCs w:val="20"/>
        </w:rPr>
        <w:t>Times New Roman, stile Normale a dimensione 10</w:t>
      </w:r>
      <w:r w:rsidRPr="00B667CE">
        <w:rPr>
          <w:rFonts w:ascii="Verdana" w:hAnsi="Verdana"/>
          <w:sz w:val="20"/>
          <w:szCs w:val="20"/>
        </w:rPr>
        <w:t xml:space="preserve">, inserendo in ciascun campo al </w:t>
      </w:r>
      <w:r w:rsidRPr="00B667CE">
        <w:rPr>
          <w:rFonts w:ascii="Verdana" w:hAnsi="Verdana"/>
          <w:b/>
          <w:sz w:val="20"/>
          <w:szCs w:val="20"/>
        </w:rPr>
        <w:t>massimo 3600 caratteri, spazi inclusi</w:t>
      </w:r>
      <w:r w:rsidR="00F1351A">
        <w:rPr>
          <w:rFonts w:ascii="Verdana" w:hAnsi="Verdana"/>
          <w:sz w:val="20"/>
          <w:szCs w:val="20"/>
        </w:rPr>
        <w:t xml:space="preserve"> e rinviare all’indirizzo </w:t>
      </w:r>
      <w:r w:rsidR="007A7E1A">
        <w:rPr>
          <w:rFonts w:ascii="Verdana" w:hAnsi="Verdana"/>
          <w:b/>
          <w:sz w:val="20"/>
          <w:szCs w:val="20"/>
        </w:rPr>
        <w:t>a.decarlo@lumsa.it</w:t>
      </w:r>
    </w:p>
    <w:p w14:paraId="59B6249E" w14:textId="77777777" w:rsidR="00AF1FBC" w:rsidRPr="00B667CE" w:rsidRDefault="00AF1FBC" w:rsidP="00AF1FBC">
      <w:pPr>
        <w:ind w:left="113" w:right="113"/>
        <w:jc w:val="both"/>
        <w:rPr>
          <w:rFonts w:ascii="Verdana" w:hAnsi="Verdana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3390"/>
        <w:gridCol w:w="6123"/>
      </w:tblGrid>
      <w:tr w:rsidR="00AF1FBC" w:rsidRPr="00B667CE" w14:paraId="32650281" w14:textId="77777777" w:rsidTr="009879BE">
        <w:trPr>
          <w:trHeight w:val="479"/>
        </w:trPr>
        <w:tc>
          <w:tcPr>
            <w:tcW w:w="1782" w:type="pct"/>
            <w:vAlign w:val="center"/>
          </w:tcPr>
          <w:p w14:paraId="3BA7A3A1" w14:textId="77777777" w:rsidR="00AF1FBC" w:rsidRDefault="00AF1FBC" w:rsidP="00AF1FBC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>Dipartimento</w:t>
            </w:r>
          </w:p>
          <w:p w14:paraId="293D3659" w14:textId="77777777" w:rsidR="005C5273" w:rsidRPr="00B667CE" w:rsidRDefault="005C5273" w:rsidP="005C5273">
            <w:pPr>
              <w:pStyle w:val="Titolo"/>
              <w:spacing w:before="120" w:after="120"/>
              <w:ind w:left="360" w:right="113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  <w:vAlign w:val="center"/>
          </w:tcPr>
          <w:p w14:paraId="2C5ACC86" w14:textId="364D30CA" w:rsidR="00AF1FBC" w:rsidRPr="00B667CE" w:rsidRDefault="003667BB" w:rsidP="000528F4">
            <w:pPr>
              <w:pStyle w:val="Titolo"/>
              <w:spacing w:before="120" w:after="120"/>
              <w:ind w:right="113"/>
              <w:jc w:val="left"/>
              <w:rPr>
                <w:rFonts w:ascii="Verdana" w:hAnsi="Verdana"/>
                <w:sz w:val="20"/>
              </w:rPr>
            </w:pPr>
            <w:r w:rsidRPr="000C5FBD">
              <w:rPr>
                <w:sz w:val="20"/>
              </w:rPr>
              <w:t>SCIENZE UMANE</w:t>
            </w:r>
          </w:p>
        </w:tc>
      </w:tr>
      <w:tr w:rsidR="00AF1FBC" w:rsidRPr="00B667CE" w14:paraId="4917D280" w14:textId="77777777" w:rsidTr="000528F4">
        <w:tc>
          <w:tcPr>
            <w:tcW w:w="1782" w:type="pct"/>
            <w:vAlign w:val="center"/>
          </w:tcPr>
          <w:p w14:paraId="681DCFD3" w14:textId="77777777" w:rsidR="005C5273" w:rsidRPr="00F40CEA" w:rsidRDefault="00AF1FBC" w:rsidP="00F40CEA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>Corso di studi in</w:t>
            </w:r>
          </w:p>
        </w:tc>
        <w:tc>
          <w:tcPr>
            <w:tcW w:w="3218" w:type="pct"/>
          </w:tcPr>
          <w:p w14:paraId="5ABABDFF" w14:textId="11885A01" w:rsidR="00AF1FBC" w:rsidRPr="00B667CE" w:rsidRDefault="003667BB" w:rsidP="000528F4">
            <w:pPr>
              <w:pStyle w:val="Titolo"/>
              <w:spacing w:before="120" w:after="120"/>
              <w:ind w:right="113"/>
              <w:jc w:val="left"/>
              <w:rPr>
                <w:rFonts w:ascii="Verdana" w:hAnsi="Verdana"/>
                <w:sz w:val="20"/>
              </w:rPr>
            </w:pPr>
            <w:r w:rsidRPr="000C5FBD">
              <w:rPr>
                <w:bCs/>
                <w:sz w:val="20"/>
              </w:rPr>
              <w:t>Scienze dell’educazione</w:t>
            </w:r>
          </w:p>
        </w:tc>
      </w:tr>
      <w:tr w:rsidR="003667BB" w:rsidRPr="00B667CE" w14:paraId="31A9CEB5" w14:textId="77777777" w:rsidTr="000528F4">
        <w:trPr>
          <w:trHeight w:val="458"/>
        </w:trPr>
        <w:tc>
          <w:tcPr>
            <w:tcW w:w="1782" w:type="pct"/>
            <w:vMerge w:val="restart"/>
            <w:vAlign w:val="center"/>
          </w:tcPr>
          <w:p w14:paraId="31F363CC" w14:textId="77777777" w:rsidR="003667BB" w:rsidRPr="00B667CE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>Insegnamento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61486725" w14:textId="18C0491F" w:rsidR="003667BB" w:rsidRPr="00B667CE" w:rsidRDefault="003667BB" w:rsidP="003667BB">
            <w:pPr>
              <w:rPr>
                <w:rFonts w:ascii="Verdana" w:hAnsi="Verdana"/>
                <w:sz w:val="20"/>
                <w:szCs w:val="20"/>
              </w:rPr>
            </w:pPr>
            <w:r w:rsidRPr="000C5FBD">
              <w:rPr>
                <w:b/>
                <w:sz w:val="20"/>
                <w:szCs w:val="20"/>
              </w:rPr>
              <w:t>Filosofia e storia del pensiero medievale: educazione e infanzia</w:t>
            </w:r>
          </w:p>
        </w:tc>
      </w:tr>
      <w:tr w:rsidR="003667BB" w:rsidRPr="003667BB" w14:paraId="3F4BF8C0" w14:textId="77777777" w:rsidTr="000528F4">
        <w:trPr>
          <w:trHeight w:val="467"/>
        </w:trPr>
        <w:tc>
          <w:tcPr>
            <w:tcW w:w="1782" w:type="pct"/>
            <w:vMerge/>
            <w:vAlign w:val="center"/>
          </w:tcPr>
          <w:p w14:paraId="5A6BCE8B" w14:textId="77777777" w:rsidR="003667BB" w:rsidRPr="00B667CE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74DF8DB3" w14:textId="4B2669A3" w:rsidR="003667BB" w:rsidRPr="003667BB" w:rsidRDefault="003667BB" w:rsidP="003667B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C5FBD">
              <w:rPr>
                <w:b/>
                <w:bCs/>
                <w:i/>
                <w:sz w:val="20"/>
                <w:szCs w:val="20"/>
                <w:lang w:val="en-US"/>
              </w:rPr>
              <w:t xml:space="preserve">Philosophy and history of medieval thought: education and childhood </w:t>
            </w:r>
          </w:p>
        </w:tc>
      </w:tr>
      <w:tr w:rsidR="003667BB" w:rsidRPr="00B667CE" w14:paraId="5B279C34" w14:textId="77777777" w:rsidTr="000528F4">
        <w:tc>
          <w:tcPr>
            <w:tcW w:w="1782" w:type="pct"/>
            <w:vAlign w:val="center"/>
          </w:tcPr>
          <w:p w14:paraId="6092A6CE" w14:textId="77777777" w:rsidR="003667BB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>Periodo insegnamento</w:t>
            </w:r>
          </w:p>
          <w:p w14:paraId="75160A7E" w14:textId="77777777" w:rsidR="003667BB" w:rsidRPr="00B667CE" w:rsidRDefault="003667BB" w:rsidP="003667BB">
            <w:pPr>
              <w:pStyle w:val="Titolo"/>
              <w:spacing w:before="120" w:after="120"/>
              <w:ind w:left="540" w:right="113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</w:tcPr>
          <w:p w14:paraId="699D85EC" w14:textId="3397A958" w:rsidR="003667BB" w:rsidRPr="00B667CE" w:rsidRDefault="003667BB" w:rsidP="003667BB">
            <w:pPr>
              <w:pStyle w:val="Titolo"/>
              <w:spacing w:before="120" w:after="120"/>
              <w:ind w:right="113"/>
              <w:jc w:val="left"/>
              <w:rPr>
                <w:rFonts w:ascii="Verdana" w:hAnsi="Verdana"/>
                <w:b w:val="0"/>
                <w:sz w:val="20"/>
              </w:rPr>
            </w:pPr>
            <w:r w:rsidRPr="000C5FBD">
              <w:rPr>
                <w:b w:val="0"/>
                <w:sz w:val="20"/>
              </w:rPr>
              <w:t>II SEMESTRE</w:t>
            </w:r>
          </w:p>
        </w:tc>
      </w:tr>
      <w:tr w:rsidR="003667BB" w:rsidRPr="00B667CE" w14:paraId="600A5E63" w14:textId="77777777" w:rsidTr="000528F4">
        <w:tc>
          <w:tcPr>
            <w:tcW w:w="1782" w:type="pct"/>
            <w:vAlign w:val="center"/>
          </w:tcPr>
          <w:p w14:paraId="19A05F32" w14:textId="2DA1B01E" w:rsidR="003667BB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N. </w:t>
            </w:r>
            <w:r w:rsidRPr="00B667CE">
              <w:rPr>
                <w:rFonts w:ascii="Verdana" w:hAnsi="Verdana"/>
                <w:sz w:val="20"/>
              </w:rPr>
              <w:t>ore insegnamento</w:t>
            </w:r>
          </w:p>
          <w:p w14:paraId="3870AEA5" w14:textId="77777777" w:rsidR="003667BB" w:rsidRPr="00B667CE" w:rsidRDefault="003667BB" w:rsidP="003667BB">
            <w:pPr>
              <w:pStyle w:val="Titolo"/>
              <w:spacing w:before="120" w:after="120"/>
              <w:ind w:left="540" w:right="113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</w:tcPr>
          <w:p w14:paraId="55E8D398" w14:textId="5574F274" w:rsidR="003667BB" w:rsidRPr="00B667CE" w:rsidRDefault="003667BB" w:rsidP="003667BB">
            <w:pPr>
              <w:pStyle w:val="Titolo"/>
              <w:spacing w:before="120" w:after="120"/>
              <w:ind w:right="113"/>
              <w:jc w:val="left"/>
              <w:rPr>
                <w:rFonts w:ascii="Verdana" w:hAnsi="Verdana"/>
                <w:b w:val="0"/>
                <w:sz w:val="20"/>
              </w:rPr>
            </w:pPr>
            <w:r w:rsidRPr="000C5FBD">
              <w:rPr>
                <w:b w:val="0"/>
                <w:sz w:val="20"/>
              </w:rPr>
              <w:t>40</w:t>
            </w:r>
            <w:r>
              <w:rPr>
                <w:b w:val="0"/>
                <w:sz w:val="20"/>
              </w:rPr>
              <w:t xml:space="preserve"> + 4</w:t>
            </w:r>
          </w:p>
        </w:tc>
      </w:tr>
      <w:tr w:rsidR="003667BB" w:rsidRPr="00B667CE" w14:paraId="5451DFE7" w14:textId="77777777" w:rsidTr="000528F4">
        <w:tc>
          <w:tcPr>
            <w:tcW w:w="1782" w:type="pct"/>
            <w:vAlign w:val="center"/>
          </w:tcPr>
          <w:p w14:paraId="08D3D296" w14:textId="77777777" w:rsidR="003667BB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>Settore Scientifico-Disciplinare (SSD)</w:t>
            </w:r>
          </w:p>
          <w:p w14:paraId="41427712" w14:textId="77777777" w:rsidR="003667BB" w:rsidRPr="00B667CE" w:rsidRDefault="003667BB" w:rsidP="003667BB">
            <w:pPr>
              <w:pStyle w:val="Titolo"/>
              <w:spacing w:before="120" w:after="120"/>
              <w:ind w:left="540" w:right="113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</w:tcPr>
          <w:p w14:paraId="2DDEB852" w14:textId="289791C2" w:rsidR="003667BB" w:rsidRPr="00B667CE" w:rsidRDefault="003667BB" w:rsidP="003667BB">
            <w:pPr>
              <w:pStyle w:val="Titolo"/>
              <w:tabs>
                <w:tab w:val="left" w:pos="413"/>
              </w:tabs>
              <w:spacing w:before="120" w:after="120"/>
              <w:ind w:right="113"/>
              <w:jc w:val="left"/>
              <w:rPr>
                <w:rFonts w:ascii="Verdana" w:hAnsi="Verdana"/>
                <w:b w:val="0"/>
                <w:sz w:val="20"/>
              </w:rPr>
            </w:pPr>
            <w:r w:rsidRPr="000C5FBD">
              <w:rPr>
                <w:b w:val="0"/>
                <w:sz w:val="20"/>
              </w:rPr>
              <w:t>M-FIL/08</w:t>
            </w:r>
          </w:p>
        </w:tc>
      </w:tr>
      <w:tr w:rsidR="003667BB" w:rsidRPr="00B667CE" w14:paraId="35C402B9" w14:textId="77777777" w:rsidTr="000528F4">
        <w:tc>
          <w:tcPr>
            <w:tcW w:w="1782" w:type="pct"/>
            <w:vAlign w:val="center"/>
          </w:tcPr>
          <w:p w14:paraId="64079102" w14:textId="35DC16FC" w:rsidR="003667BB" w:rsidRPr="00F40CEA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 xml:space="preserve">N. tot. Crediti Formativi Universitari </w:t>
            </w:r>
            <w:r>
              <w:rPr>
                <w:rFonts w:ascii="Verdana" w:hAnsi="Verdana"/>
                <w:sz w:val="20"/>
              </w:rPr>
              <w:t>(CFU)</w:t>
            </w:r>
            <w:r w:rsidRPr="00B667CE">
              <w:rPr>
                <w:rFonts w:ascii="Verdana" w:hAnsi="Verdana"/>
                <w:sz w:val="20"/>
              </w:rPr>
              <w:t>/ ECTS</w:t>
            </w:r>
          </w:p>
        </w:tc>
        <w:tc>
          <w:tcPr>
            <w:tcW w:w="3218" w:type="pct"/>
            <w:vAlign w:val="center"/>
          </w:tcPr>
          <w:p w14:paraId="1152EFBE" w14:textId="3F6999AC" w:rsidR="003667BB" w:rsidRPr="003667BB" w:rsidRDefault="003667BB" w:rsidP="003667BB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 w:rsidRPr="003667BB">
              <w:rPr>
                <w:sz w:val="20"/>
                <w:szCs w:val="20"/>
              </w:rPr>
              <w:t>6</w:t>
            </w:r>
          </w:p>
        </w:tc>
      </w:tr>
      <w:tr w:rsidR="003667BB" w:rsidRPr="00B667CE" w14:paraId="2E289311" w14:textId="77777777" w:rsidTr="005C5273">
        <w:trPr>
          <w:trHeight w:val="538"/>
        </w:trPr>
        <w:tc>
          <w:tcPr>
            <w:tcW w:w="1782" w:type="pct"/>
            <w:vAlign w:val="center"/>
          </w:tcPr>
          <w:p w14:paraId="3BA93D9D" w14:textId="77777777" w:rsidR="003667BB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 xml:space="preserve">Cognome e nome </w:t>
            </w:r>
          </w:p>
          <w:p w14:paraId="66AD71AC" w14:textId="77777777" w:rsidR="003667BB" w:rsidRPr="005C5273" w:rsidRDefault="003667BB" w:rsidP="003667BB">
            <w:pPr>
              <w:pStyle w:val="Titolo"/>
              <w:tabs>
                <w:tab w:val="num" w:pos="360"/>
              </w:tabs>
              <w:spacing w:before="120" w:after="120"/>
              <w:ind w:left="540" w:right="113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  <w:vAlign w:val="center"/>
          </w:tcPr>
          <w:p w14:paraId="26EEB1D2" w14:textId="513923B7" w:rsidR="003667BB" w:rsidRPr="00B667CE" w:rsidRDefault="003667BB" w:rsidP="003667BB">
            <w:pPr>
              <w:tabs>
                <w:tab w:val="left" w:pos="0"/>
              </w:tabs>
              <w:spacing w:after="120"/>
              <w:ind w:left="113" w:right="146" w:hanging="113"/>
              <w:rPr>
                <w:rFonts w:ascii="Verdana" w:hAnsi="Verdana"/>
                <w:sz w:val="20"/>
                <w:szCs w:val="20"/>
              </w:rPr>
            </w:pPr>
            <w:r w:rsidRPr="000C5FBD">
              <w:rPr>
                <w:sz w:val="20"/>
                <w:szCs w:val="20"/>
              </w:rPr>
              <w:t>GRASSI ONORATO</w:t>
            </w:r>
          </w:p>
        </w:tc>
      </w:tr>
      <w:tr w:rsidR="003667BB" w:rsidRPr="00B667CE" w14:paraId="3F2D899A" w14:textId="77777777" w:rsidTr="000528F4">
        <w:trPr>
          <w:trHeight w:val="445"/>
        </w:trPr>
        <w:tc>
          <w:tcPr>
            <w:tcW w:w="1782" w:type="pct"/>
            <w:vMerge w:val="restart"/>
            <w:vAlign w:val="center"/>
          </w:tcPr>
          <w:p w14:paraId="08FD0D3C" w14:textId="5264D437" w:rsidR="003667BB" w:rsidRPr="00B667CE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Obiettivi </w:t>
            </w:r>
            <w:r w:rsidRPr="00535E40">
              <w:rPr>
                <w:rFonts w:ascii="Verdana" w:hAnsi="Verdana"/>
                <w:sz w:val="20"/>
              </w:rPr>
              <w:t>formativi</w:t>
            </w:r>
            <w:r>
              <w:rPr>
                <w:rFonts w:ascii="Verdana" w:hAnsi="Verdana"/>
                <w:sz w:val="20"/>
              </w:rPr>
              <w:t xml:space="preserve"> del corso</w:t>
            </w:r>
            <w:r w:rsidRPr="00B667CE">
              <w:rPr>
                <w:rFonts w:ascii="Verdana" w:hAnsi="Verdana"/>
                <w:sz w:val="20"/>
              </w:rPr>
              <w:t xml:space="preserve">                        </w:t>
            </w:r>
            <w:r w:rsidRPr="00B667CE">
              <w:rPr>
                <w:rFonts w:ascii="Verdana" w:hAnsi="Verdana"/>
                <w:b w:val="0"/>
                <w:i/>
                <w:sz w:val="20"/>
              </w:rPr>
              <w:t xml:space="preserve">Massimo 3600 caratteri, spazi inclusi 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6EF16E9E" w14:textId="48EA2C3B" w:rsidR="003667BB" w:rsidRPr="00B667CE" w:rsidRDefault="003667BB" w:rsidP="003667BB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5FBD">
              <w:rPr>
                <w:sz w:val="20"/>
                <w:szCs w:val="20"/>
              </w:rPr>
              <w:t>Il corso mira all’acquisizione di conoscenze e competenze nell’ambito della filosofia</w:t>
            </w:r>
            <w:r>
              <w:rPr>
                <w:sz w:val="20"/>
                <w:szCs w:val="20"/>
              </w:rPr>
              <w:t xml:space="preserve"> medioevale e rinascimentale</w:t>
            </w:r>
            <w:r w:rsidRPr="000C5F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con specifico riferimento alle teorie filosofico-educative, </w:t>
            </w:r>
            <w:r w:rsidRPr="000C5FBD">
              <w:rPr>
                <w:sz w:val="20"/>
                <w:szCs w:val="20"/>
              </w:rPr>
              <w:t xml:space="preserve">mediante studi </w:t>
            </w:r>
            <w:r>
              <w:rPr>
                <w:sz w:val="20"/>
                <w:szCs w:val="20"/>
              </w:rPr>
              <w:t xml:space="preserve">e </w:t>
            </w:r>
            <w:r w:rsidRPr="000C5FBD">
              <w:rPr>
                <w:sz w:val="20"/>
                <w:szCs w:val="20"/>
              </w:rPr>
              <w:t>analisi di testi, inquadramenti storiografici, riflessioni storico-critiche sulle tematiche filosofic</w:t>
            </w:r>
            <w:r>
              <w:rPr>
                <w:sz w:val="20"/>
                <w:szCs w:val="20"/>
              </w:rPr>
              <w:t>o-educative del Basso Medioevo e dell’Umanesimo</w:t>
            </w:r>
            <w:r w:rsidRPr="000C5FBD">
              <w:rPr>
                <w:sz w:val="20"/>
                <w:szCs w:val="20"/>
              </w:rPr>
              <w:t>.</w:t>
            </w:r>
          </w:p>
        </w:tc>
      </w:tr>
      <w:tr w:rsidR="003667BB" w:rsidRPr="003667BB" w14:paraId="515F073F" w14:textId="77777777" w:rsidTr="000528F4">
        <w:trPr>
          <w:trHeight w:val="357"/>
        </w:trPr>
        <w:tc>
          <w:tcPr>
            <w:tcW w:w="1782" w:type="pct"/>
            <w:vMerge/>
            <w:vAlign w:val="center"/>
          </w:tcPr>
          <w:p w14:paraId="5104A97E" w14:textId="77777777" w:rsidR="003667BB" w:rsidRPr="00B667CE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3AE72ABA" w14:textId="20D38563" w:rsidR="003667BB" w:rsidRPr="003667BB" w:rsidRDefault="003667BB" w:rsidP="003667BB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C5FBD">
              <w:rPr>
                <w:i/>
                <w:sz w:val="20"/>
                <w:szCs w:val="20"/>
                <w:lang w:val="en-US"/>
              </w:rPr>
              <w:t xml:space="preserve">The aim of the course is to provide a specific approach to medieval and renaissance philosophy on a methodological, historiographic and content-oriented basis by studying one or more writers’ views on certain topics and subjects. The knowledge and expertise acquired by students will concern the use and interpretation of medieval </w:t>
            </w:r>
            <w:r>
              <w:rPr>
                <w:i/>
                <w:sz w:val="20"/>
                <w:szCs w:val="20"/>
                <w:lang w:val="en-US"/>
              </w:rPr>
              <w:t xml:space="preserve">and renaissance </w:t>
            </w:r>
            <w:r w:rsidRPr="000C5FBD">
              <w:rPr>
                <w:i/>
                <w:sz w:val="20"/>
                <w:szCs w:val="20"/>
                <w:lang w:val="en-US"/>
              </w:rPr>
              <w:t>sources and a mastery of fundamental issues</w:t>
            </w:r>
            <w:r>
              <w:rPr>
                <w:i/>
                <w:sz w:val="20"/>
                <w:szCs w:val="20"/>
                <w:lang w:val="en-US"/>
              </w:rPr>
              <w:t xml:space="preserve"> in the field of education</w:t>
            </w:r>
            <w:r w:rsidRPr="000C5FBD">
              <w:rPr>
                <w:i/>
                <w:sz w:val="20"/>
                <w:szCs w:val="20"/>
                <w:lang w:val="en-US"/>
              </w:rPr>
              <w:t>.</w:t>
            </w:r>
          </w:p>
        </w:tc>
      </w:tr>
      <w:tr w:rsidR="003667BB" w:rsidRPr="00B667CE" w14:paraId="0ABA7DE8" w14:textId="77777777" w:rsidTr="00F40CEA">
        <w:trPr>
          <w:trHeight w:val="620"/>
        </w:trPr>
        <w:tc>
          <w:tcPr>
            <w:tcW w:w="1782" w:type="pct"/>
            <w:vMerge w:val="restart"/>
            <w:vAlign w:val="center"/>
          </w:tcPr>
          <w:p w14:paraId="45A5E862" w14:textId="012E29C3" w:rsidR="003667BB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  <w:r w:rsidRPr="003667BB"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</w:rPr>
              <w:t>Programma del corso</w:t>
            </w:r>
          </w:p>
          <w:p w14:paraId="08D0D20B" w14:textId="77777777" w:rsidR="003667BB" w:rsidRPr="00B667CE" w:rsidRDefault="003667BB" w:rsidP="003667BB">
            <w:pPr>
              <w:pStyle w:val="Titolo"/>
              <w:spacing w:before="120" w:after="120"/>
              <w:ind w:left="429" w:right="113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b w:val="0"/>
                <w:i/>
                <w:sz w:val="20"/>
              </w:rPr>
              <w:t>Massimo 3600 caratteri, spazi inclusi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23F8C897" w14:textId="77777777" w:rsidR="003667BB" w:rsidRPr="000C5FBD" w:rsidRDefault="003667BB" w:rsidP="003667BB">
            <w:pPr>
              <w:rPr>
                <w:b/>
                <w:sz w:val="20"/>
                <w:szCs w:val="20"/>
              </w:rPr>
            </w:pPr>
          </w:p>
          <w:p w14:paraId="2C671C6E" w14:textId="1A34112A" w:rsidR="003667BB" w:rsidRPr="00B667CE" w:rsidRDefault="003667BB" w:rsidP="003667BB">
            <w:pPr>
              <w:rPr>
                <w:rFonts w:ascii="Verdana" w:hAnsi="Verdana"/>
                <w:sz w:val="20"/>
                <w:szCs w:val="20"/>
              </w:rPr>
            </w:pPr>
            <w:r w:rsidRPr="000C5FBD">
              <w:rPr>
                <w:b/>
                <w:bCs/>
                <w:sz w:val="20"/>
                <w:szCs w:val="20"/>
              </w:rPr>
              <w:t xml:space="preserve">Educazione e infanzia nel pensiero medievale e rinascimentale. </w:t>
            </w:r>
            <w:r w:rsidRPr="000C5FBD">
              <w:rPr>
                <w:sz w:val="20"/>
                <w:szCs w:val="20"/>
              </w:rPr>
              <w:t xml:space="preserve">Le concezioni educative dal tardo antico all’umanesimo, con particolare riferimento a Tommaso, </w:t>
            </w:r>
            <w:proofErr w:type="spellStart"/>
            <w:r w:rsidRPr="000C5FBD">
              <w:rPr>
                <w:sz w:val="20"/>
                <w:szCs w:val="20"/>
              </w:rPr>
              <w:t>Bonvensin</w:t>
            </w:r>
            <w:proofErr w:type="spellEnd"/>
            <w:r w:rsidRPr="000C5FBD">
              <w:rPr>
                <w:sz w:val="20"/>
                <w:szCs w:val="20"/>
              </w:rPr>
              <w:t xml:space="preserve"> de la Riva, Vergerio, Guarino Guarini, Vittorino da Feltre. Le istituzioni educative (scuole, </w:t>
            </w:r>
            <w:proofErr w:type="spellStart"/>
            <w:r w:rsidRPr="000C5FBD">
              <w:rPr>
                <w:sz w:val="20"/>
                <w:szCs w:val="20"/>
              </w:rPr>
              <w:t>Universita</w:t>
            </w:r>
            <w:proofErr w:type="spellEnd"/>
            <w:r w:rsidRPr="000C5FBD">
              <w:rPr>
                <w:sz w:val="20"/>
                <w:szCs w:val="20"/>
              </w:rPr>
              <w:t xml:space="preserve">̀, </w:t>
            </w:r>
            <w:r w:rsidRPr="000C5FBD">
              <w:rPr>
                <w:i/>
                <w:iCs/>
                <w:sz w:val="20"/>
                <w:szCs w:val="20"/>
              </w:rPr>
              <w:t>Studia</w:t>
            </w:r>
            <w:r w:rsidRPr="000C5FBD">
              <w:rPr>
                <w:sz w:val="20"/>
                <w:szCs w:val="20"/>
              </w:rPr>
              <w:t>, accademie). L’infanzia nel Medioevo (Filippo da Novara,</w:t>
            </w:r>
            <w:r>
              <w:rPr>
                <w:sz w:val="20"/>
                <w:szCs w:val="20"/>
              </w:rPr>
              <w:t xml:space="preserve"> Aldobrandino da Siena, </w:t>
            </w:r>
            <w:r w:rsidRPr="000C5FBD">
              <w:rPr>
                <w:sz w:val="20"/>
                <w:szCs w:val="20"/>
              </w:rPr>
              <w:t xml:space="preserve">Christine de </w:t>
            </w:r>
            <w:proofErr w:type="spellStart"/>
            <w:r w:rsidRPr="000C5FBD">
              <w:rPr>
                <w:sz w:val="20"/>
                <w:szCs w:val="20"/>
              </w:rPr>
              <w:t>Pizan</w:t>
            </w:r>
            <w:proofErr w:type="spellEnd"/>
            <w:r w:rsidRPr="000C5FBD">
              <w:rPr>
                <w:sz w:val="20"/>
                <w:szCs w:val="20"/>
              </w:rPr>
              <w:t xml:space="preserve">). Autori, trattati pedagogici e scuole umanistiche in Italia e in Europa. </w:t>
            </w:r>
          </w:p>
        </w:tc>
      </w:tr>
      <w:tr w:rsidR="003667BB" w:rsidRPr="003667BB" w14:paraId="54E914A7" w14:textId="77777777" w:rsidTr="00F40CEA">
        <w:trPr>
          <w:trHeight w:val="470"/>
        </w:trPr>
        <w:tc>
          <w:tcPr>
            <w:tcW w:w="1782" w:type="pct"/>
            <w:vMerge/>
            <w:vAlign w:val="center"/>
          </w:tcPr>
          <w:p w14:paraId="2F7CEDDF" w14:textId="77777777" w:rsidR="003667BB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6C4602DF" w14:textId="5A833699" w:rsidR="003667BB" w:rsidRPr="003667BB" w:rsidRDefault="003667BB" w:rsidP="003667BB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C5FBD">
              <w:rPr>
                <w:b/>
                <w:bCs/>
                <w:i/>
                <w:sz w:val="20"/>
                <w:szCs w:val="20"/>
                <w:lang w:val="en-US"/>
              </w:rPr>
              <w:t>Education and childhood in medieval and renaissance thought.</w:t>
            </w:r>
            <w:r w:rsidRPr="000C5FBD">
              <w:rPr>
                <w:b/>
                <w:bCs/>
                <w:i/>
                <w:sz w:val="20"/>
                <w:szCs w:val="20"/>
                <w:lang w:val="en-US"/>
              </w:rPr>
              <w:br/>
            </w:r>
            <w:r w:rsidRPr="000C5FBD">
              <w:rPr>
                <w:i/>
                <w:sz w:val="20"/>
                <w:szCs w:val="20"/>
                <w:lang w:val="en-US"/>
              </w:rPr>
              <w:t xml:space="preserve">Education from the late classical thought to the beginning of modern Age (texts of St Thomas, </w:t>
            </w:r>
            <w:proofErr w:type="spellStart"/>
            <w:r w:rsidRPr="000C5FBD">
              <w:rPr>
                <w:i/>
                <w:sz w:val="20"/>
                <w:szCs w:val="20"/>
                <w:lang w:val="en-US"/>
              </w:rPr>
              <w:t>Bonvensin</w:t>
            </w:r>
            <w:proofErr w:type="spellEnd"/>
            <w:r w:rsidRPr="000C5FBD">
              <w:rPr>
                <w:i/>
                <w:sz w:val="20"/>
                <w:szCs w:val="20"/>
                <w:lang w:val="en-US"/>
              </w:rPr>
              <w:t xml:space="preserve"> de la Riva, </w:t>
            </w:r>
            <w:proofErr w:type="spellStart"/>
            <w:r w:rsidRPr="000C5FBD">
              <w:rPr>
                <w:i/>
                <w:sz w:val="20"/>
                <w:szCs w:val="20"/>
                <w:lang w:val="en-US"/>
              </w:rPr>
              <w:t>Vergerio</w:t>
            </w:r>
            <w:proofErr w:type="spellEnd"/>
            <w:r w:rsidRPr="000C5FBD">
              <w:rPr>
                <w:i/>
                <w:sz w:val="20"/>
                <w:szCs w:val="20"/>
                <w:lang w:val="en-US"/>
              </w:rPr>
              <w:t xml:space="preserve">, Guarino Guarini, </w:t>
            </w:r>
            <w:proofErr w:type="spellStart"/>
            <w:r w:rsidRPr="000C5FBD">
              <w:rPr>
                <w:i/>
                <w:sz w:val="20"/>
                <w:szCs w:val="20"/>
                <w:lang w:val="en-US"/>
              </w:rPr>
              <w:t>Victorino</w:t>
            </w:r>
            <w:proofErr w:type="spellEnd"/>
            <w:r w:rsidRPr="000C5FBD">
              <w:rPr>
                <w:i/>
                <w:sz w:val="20"/>
                <w:szCs w:val="20"/>
                <w:lang w:val="en-US"/>
              </w:rPr>
              <w:t xml:space="preserve"> da Feltre). Schools, Universities, Studia in the medieval education. Childhood in the Middle Ages (Philippe of Novara,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Aldobrandino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of Siena, </w:t>
            </w:r>
            <w:r w:rsidRPr="000C5FBD">
              <w:rPr>
                <w:i/>
                <w:sz w:val="20"/>
                <w:szCs w:val="20"/>
                <w:lang w:val="en-US"/>
              </w:rPr>
              <w:t xml:space="preserve"> Christine de </w:t>
            </w:r>
            <w:proofErr w:type="spellStart"/>
            <w:r w:rsidRPr="000C5FBD">
              <w:rPr>
                <w:i/>
                <w:sz w:val="20"/>
                <w:szCs w:val="20"/>
                <w:lang w:val="en-US"/>
              </w:rPr>
              <w:t>Pizan</w:t>
            </w:r>
            <w:proofErr w:type="spellEnd"/>
            <w:r w:rsidRPr="000C5FBD">
              <w:rPr>
                <w:i/>
                <w:sz w:val="20"/>
                <w:szCs w:val="20"/>
                <w:lang w:val="en-US"/>
              </w:rPr>
              <w:t xml:space="preserve">). About education in Europe and Italy: authors, writings and schools. </w:t>
            </w:r>
          </w:p>
        </w:tc>
      </w:tr>
      <w:tr w:rsidR="003667BB" w:rsidRPr="00B667CE" w14:paraId="57B04C2A" w14:textId="77777777" w:rsidTr="00F202E2">
        <w:trPr>
          <w:trHeight w:val="1495"/>
        </w:trPr>
        <w:tc>
          <w:tcPr>
            <w:tcW w:w="1782" w:type="pct"/>
            <w:vAlign w:val="center"/>
          </w:tcPr>
          <w:p w14:paraId="0CCA3D63" w14:textId="77777777" w:rsidR="003667BB" w:rsidRPr="00B667CE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Testi di riferimento</w:t>
            </w:r>
          </w:p>
        </w:tc>
        <w:tc>
          <w:tcPr>
            <w:tcW w:w="3218" w:type="pct"/>
          </w:tcPr>
          <w:p w14:paraId="1534C326" w14:textId="77777777" w:rsidR="003667BB" w:rsidRPr="000C5FBD" w:rsidRDefault="003667BB" w:rsidP="003667BB">
            <w:pPr>
              <w:pStyle w:val="Titolo"/>
              <w:spacing w:before="120" w:after="120"/>
              <w:ind w:right="113"/>
              <w:jc w:val="left"/>
              <w:rPr>
                <w:sz w:val="20"/>
                <w:u w:val="single"/>
              </w:rPr>
            </w:pPr>
            <w:r w:rsidRPr="000C5FBD">
              <w:rPr>
                <w:sz w:val="20"/>
                <w:u w:val="single"/>
              </w:rPr>
              <w:t>Frequentanti:</w:t>
            </w:r>
          </w:p>
          <w:p w14:paraId="242F39A9" w14:textId="77777777" w:rsidR="003667BB" w:rsidRDefault="003667BB" w:rsidP="003667BB">
            <w:pPr>
              <w:pStyle w:val="NormaleWeb"/>
              <w:spacing w:before="0" w:beforeAutospacing="0" w:after="120" w:afterAutospacing="0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G. Chiosso, </w:t>
            </w:r>
            <w:r w:rsidRPr="00C8266C">
              <w:rPr>
                <w:i/>
                <w:iCs/>
                <w:sz w:val="20"/>
                <w:szCs w:val="20"/>
              </w:rPr>
              <w:t>Pedagogi</w:t>
            </w:r>
            <w:r>
              <w:rPr>
                <w:i/>
                <w:iCs/>
                <w:sz w:val="20"/>
                <w:szCs w:val="20"/>
              </w:rPr>
              <w:t>a.  Dal Basso Medioevo all’Ottocento</w:t>
            </w:r>
            <w:r>
              <w:rPr>
                <w:sz w:val="20"/>
                <w:szCs w:val="20"/>
              </w:rPr>
              <w:t xml:space="preserve">, Mondadori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>, Milano 2021, i capitoli 1 e 2 (</w:t>
            </w:r>
            <w:r>
              <w:rPr>
                <w:i/>
                <w:iCs/>
                <w:sz w:val="20"/>
                <w:szCs w:val="20"/>
              </w:rPr>
              <w:t xml:space="preserve">Il Basso Medioevo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i/>
                <w:iCs/>
                <w:sz w:val="20"/>
                <w:szCs w:val="20"/>
              </w:rPr>
              <w:t>Umanesimo e Rinascimento</w:t>
            </w:r>
            <w:r>
              <w:rPr>
                <w:sz w:val="20"/>
                <w:szCs w:val="20"/>
              </w:rPr>
              <w:t>).</w:t>
            </w:r>
          </w:p>
          <w:p w14:paraId="42C3CC5B" w14:textId="77777777" w:rsidR="003667BB" w:rsidRPr="000C5FBD" w:rsidRDefault="003667BB" w:rsidP="003667BB">
            <w:pPr>
              <w:pStyle w:val="NormaleWeb"/>
              <w:spacing w:before="0" w:beforeAutospacing="0" w:after="120" w:afterAutospacing="0"/>
              <w:rPr>
                <w:sz w:val="20"/>
                <w:szCs w:val="20"/>
              </w:rPr>
            </w:pPr>
            <w:r w:rsidRPr="000C5FBD">
              <w:rPr>
                <w:bCs/>
                <w:smallCaps/>
                <w:sz w:val="20"/>
                <w:szCs w:val="20"/>
              </w:rPr>
              <w:t>Tommaso d’Aquino</w:t>
            </w:r>
            <w:r w:rsidRPr="000C5FBD">
              <w:rPr>
                <w:sz w:val="20"/>
                <w:szCs w:val="20"/>
              </w:rPr>
              <w:t xml:space="preserve">, </w:t>
            </w:r>
            <w:r w:rsidRPr="000C5FBD">
              <w:rPr>
                <w:i/>
                <w:iCs/>
                <w:sz w:val="20"/>
                <w:szCs w:val="20"/>
              </w:rPr>
              <w:t>De Magistro</w:t>
            </w:r>
            <w:r w:rsidRPr="000C5FBD">
              <w:rPr>
                <w:sz w:val="20"/>
                <w:szCs w:val="20"/>
              </w:rPr>
              <w:t>, traduzione e introduzione di Edda Ducci, Anicia, Roma 1995.</w:t>
            </w:r>
          </w:p>
          <w:p w14:paraId="6C838F3B" w14:textId="77777777" w:rsidR="003667BB" w:rsidRPr="000C5FBD" w:rsidRDefault="003667BB" w:rsidP="003667BB">
            <w:pPr>
              <w:pStyle w:val="NormaleWeb"/>
              <w:spacing w:before="0" w:beforeAutospacing="0" w:after="120" w:afterAutospacing="0"/>
              <w:rPr>
                <w:sz w:val="20"/>
                <w:szCs w:val="20"/>
              </w:rPr>
            </w:pPr>
            <w:r w:rsidRPr="000C5FBD">
              <w:rPr>
                <w:bCs/>
                <w:smallCaps/>
                <w:sz w:val="20"/>
                <w:szCs w:val="20"/>
              </w:rPr>
              <w:t>A.</w:t>
            </w:r>
            <w:r>
              <w:rPr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0C5FBD">
              <w:rPr>
                <w:bCs/>
                <w:smallCaps/>
                <w:sz w:val="20"/>
                <w:szCs w:val="20"/>
              </w:rPr>
              <w:t>Giallongo</w:t>
            </w:r>
            <w:proofErr w:type="spellEnd"/>
            <w:r w:rsidRPr="000C5FBD">
              <w:rPr>
                <w:sz w:val="20"/>
                <w:szCs w:val="20"/>
              </w:rPr>
              <w:t xml:space="preserve">, </w:t>
            </w:r>
            <w:r w:rsidRPr="000C5FBD">
              <w:rPr>
                <w:i/>
                <w:sz w:val="20"/>
                <w:szCs w:val="20"/>
              </w:rPr>
              <w:t>Il bambino medievale. Educazione ed infanzia nel Medioevo</w:t>
            </w:r>
            <w:r w:rsidRPr="000C5FBD">
              <w:rPr>
                <w:sz w:val="20"/>
                <w:szCs w:val="20"/>
              </w:rPr>
              <w:t xml:space="preserve">, Dedalo, Bari, 1997 </w:t>
            </w:r>
            <w:r w:rsidRPr="000C5FBD">
              <w:rPr>
                <w:i/>
                <w:sz w:val="20"/>
                <w:szCs w:val="20"/>
              </w:rPr>
              <w:t>(i capitoli indicati a lezione)</w:t>
            </w:r>
            <w:r w:rsidRPr="000C5FBD">
              <w:rPr>
                <w:sz w:val="20"/>
                <w:szCs w:val="20"/>
              </w:rPr>
              <w:t>.</w:t>
            </w:r>
          </w:p>
          <w:p w14:paraId="0E1AB1EA" w14:textId="77777777" w:rsidR="003667BB" w:rsidRDefault="003667BB" w:rsidP="003667BB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8266C">
              <w:rPr>
                <w:b w:val="0"/>
                <w:bCs/>
                <w:smallCaps/>
                <w:sz w:val="20"/>
              </w:rPr>
              <w:t>E. Garin</w:t>
            </w:r>
            <w:r w:rsidRPr="000C5FBD">
              <w:rPr>
                <w:b w:val="0"/>
                <w:sz w:val="20"/>
              </w:rPr>
              <w:t xml:space="preserve">, </w:t>
            </w:r>
            <w:r w:rsidRPr="000C5FBD">
              <w:rPr>
                <w:b w:val="0"/>
                <w:i/>
                <w:sz w:val="20"/>
              </w:rPr>
              <w:t>L’educazione umanistica in Italia</w:t>
            </w:r>
            <w:r w:rsidRPr="000C5FBD">
              <w:rPr>
                <w:b w:val="0"/>
                <w:sz w:val="20"/>
              </w:rPr>
              <w:t>, Laterza, Bari-Roma 1975</w:t>
            </w:r>
            <w:r>
              <w:rPr>
                <w:b w:val="0"/>
                <w:sz w:val="20"/>
              </w:rPr>
              <w:t>.</w:t>
            </w:r>
          </w:p>
          <w:p w14:paraId="31280BA4" w14:textId="77777777" w:rsidR="003667BB" w:rsidRDefault="003667BB" w:rsidP="003667BB">
            <w:pPr>
              <w:pStyle w:val="Titolo"/>
              <w:spacing w:before="120" w:after="120"/>
              <w:ind w:right="113"/>
              <w:jc w:val="left"/>
              <w:rPr>
                <w:b w:val="0"/>
                <w:bCs/>
                <w:smallCaps/>
                <w:sz w:val="20"/>
              </w:rPr>
            </w:pPr>
          </w:p>
          <w:p w14:paraId="68535DCE" w14:textId="77777777" w:rsidR="003667BB" w:rsidRPr="000C5FBD" w:rsidRDefault="003667BB" w:rsidP="003667BB">
            <w:pPr>
              <w:pStyle w:val="Titolo"/>
              <w:spacing w:before="120" w:after="120"/>
              <w:ind w:right="113"/>
              <w:jc w:val="left"/>
              <w:rPr>
                <w:sz w:val="20"/>
                <w:u w:val="single"/>
              </w:rPr>
            </w:pPr>
            <w:r w:rsidRPr="000C5FBD">
              <w:rPr>
                <w:sz w:val="20"/>
                <w:u w:val="single"/>
              </w:rPr>
              <w:t>Non frequentanti:</w:t>
            </w:r>
          </w:p>
          <w:p w14:paraId="61428FC3" w14:textId="77777777" w:rsidR="003667BB" w:rsidRPr="000C5FBD" w:rsidRDefault="003667BB" w:rsidP="003667BB">
            <w:pPr>
              <w:pStyle w:val="NormaleWeb"/>
              <w:spacing w:before="0" w:beforeAutospacing="0" w:after="120" w:afterAutospacing="0"/>
              <w:rPr>
                <w:sz w:val="20"/>
                <w:szCs w:val="20"/>
              </w:rPr>
            </w:pPr>
            <w:r w:rsidRPr="000C5FBD">
              <w:rPr>
                <w:smallCaps/>
                <w:sz w:val="20"/>
                <w:szCs w:val="20"/>
              </w:rPr>
              <w:t>P. Rosso</w:t>
            </w:r>
            <w:r w:rsidRPr="000C5FBD">
              <w:rPr>
                <w:sz w:val="20"/>
                <w:szCs w:val="20"/>
              </w:rPr>
              <w:t xml:space="preserve">, </w:t>
            </w:r>
            <w:r w:rsidRPr="000C5FBD">
              <w:rPr>
                <w:i/>
                <w:sz w:val="20"/>
                <w:szCs w:val="20"/>
              </w:rPr>
              <w:t>La scuola nel Medioevo</w:t>
            </w:r>
            <w:r w:rsidRPr="000C5FBD">
              <w:rPr>
                <w:sz w:val="20"/>
                <w:szCs w:val="20"/>
              </w:rPr>
              <w:t>, Carocci, Roma 2018</w:t>
            </w:r>
            <w:r>
              <w:rPr>
                <w:sz w:val="20"/>
                <w:szCs w:val="20"/>
              </w:rPr>
              <w:t>.</w:t>
            </w:r>
          </w:p>
          <w:p w14:paraId="51920335" w14:textId="77777777" w:rsidR="003667BB" w:rsidRPr="000C5FBD" w:rsidRDefault="003667BB" w:rsidP="003667BB">
            <w:pPr>
              <w:pStyle w:val="NormaleWeb"/>
              <w:spacing w:before="0" w:beforeAutospacing="0" w:after="120" w:afterAutospacing="0"/>
              <w:rPr>
                <w:sz w:val="20"/>
                <w:szCs w:val="20"/>
              </w:rPr>
            </w:pPr>
            <w:r w:rsidRPr="000C5FBD">
              <w:rPr>
                <w:bCs/>
                <w:smallCaps/>
                <w:sz w:val="20"/>
                <w:szCs w:val="20"/>
              </w:rPr>
              <w:t>Tommaso d’Aquino</w:t>
            </w:r>
            <w:r w:rsidRPr="000C5FBD">
              <w:rPr>
                <w:sz w:val="20"/>
                <w:szCs w:val="20"/>
              </w:rPr>
              <w:t xml:space="preserve">, </w:t>
            </w:r>
            <w:r w:rsidRPr="000C5FBD">
              <w:rPr>
                <w:i/>
                <w:iCs/>
                <w:sz w:val="20"/>
                <w:szCs w:val="20"/>
              </w:rPr>
              <w:t>De Magistro</w:t>
            </w:r>
            <w:r w:rsidRPr="000C5FBD">
              <w:rPr>
                <w:sz w:val="20"/>
                <w:szCs w:val="20"/>
              </w:rPr>
              <w:t>, traduzione e introduzione di Edda Ducci, Anicia, Roma 1995.</w:t>
            </w:r>
          </w:p>
          <w:p w14:paraId="6991DA26" w14:textId="77777777" w:rsidR="003667BB" w:rsidRPr="000C5FBD" w:rsidRDefault="003667BB" w:rsidP="003667BB">
            <w:pPr>
              <w:pStyle w:val="NormaleWeb"/>
              <w:spacing w:before="0" w:beforeAutospacing="0" w:after="120" w:afterAutospacing="0"/>
              <w:rPr>
                <w:sz w:val="20"/>
                <w:szCs w:val="20"/>
              </w:rPr>
            </w:pPr>
            <w:proofErr w:type="spellStart"/>
            <w:r w:rsidRPr="000C5FBD">
              <w:rPr>
                <w:bCs/>
                <w:smallCaps/>
                <w:sz w:val="20"/>
                <w:szCs w:val="20"/>
              </w:rPr>
              <w:t>A.Giallongo</w:t>
            </w:r>
            <w:proofErr w:type="spellEnd"/>
            <w:r w:rsidRPr="000C5FBD">
              <w:rPr>
                <w:sz w:val="20"/>
                <w:szCs w:val="20"/>
              </w:rPr>
              <w:t xml:space="preserve">, </w:t>
            </w:r>
            <w:r w:rsidRPr="000C5FBD">
              <w:rPr>
                <w:i/>
                <w:sz w:val="20"/>
                <w:szCs w:val="20"/>
              </w:rPr>
              <w:t>Il bambino medievale. Educazione ed infanzia nel Medioevo</w:t>
            </w:r>
            <w:r w:rsidRPr="000C5FBD">
              <w:rPr>
                <w:sz w:val="20"/>
                <w:szCs w:val="20"/>
              </w:rPr>
              <w:t>, Dedalo, Bari, 1997.</w:t>
            </w:r>
          </w:p>
          <w:p w14:paraId="1B6AD21A" w14:textId="77777777" w:rsidR="003667BB" w:rsidRDefault="003667BB" w:rsidP="003667BB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 w:rsidRPr="00C8266C">
              <w:rPr>
                <w:b w:val="0"/>
                <w:bCs/>
                <w:smallCaps/>
                <w:sz w:val="20"/>
              </w:rPr>
              <w:t>E. Garin</w:t>
            </w:r>
            <w:r w:rsidRPr="000C5FBD">
              <w:rPr>
                <w:b w:val="0"/>
                <w:sz w:val="20"/>
              </w:rPr>
              <w:t xml:space="preserve">, </w:t>
            </w:r>
            <w:r w:rsidRPr="000C5FBD">
              <w:rPr>
                <w:b w:val="0"/>
                <w:i/>
                <w:sz w:val="20"/>
              </w:rPr>
              <w:t>L’educazione umanistica in Italia</w:t>
            </w:r>
            <w:r w:rsidRPr="000C5FBD">
              <w:rPr>
                <w:b w:val="0"/>
                <w:sz w:val="20"/>
              </w:rPr>
              <w:t>, Laterza, Bari-Roma 1975</w:t>
            </w:r>
            <w:r>
              <w:rPr>
                <w:b w:val="0"/>
                <w:sz w:val="20"/>
              </w:rPr>
              <w:t>.</w:t>
            </w:r>
          </w:p>
          <w:p w14:paraId="5E49FE5E" w14:textId="6C0AF14E" w:rsidR="003667BB" w:rsidRDefault="003667BB" w:rsidP="003667BB">
            <w:pPr>
              <w:pStyle w:val="Titolo"/>
              <w:spacing w:before="120" w:after="120"/>
              <w:ind w:right="113"/>
              <w:jc w:val="left"/>
              <w:rPr>
                <w:rFonts w:ascii="Verdana" w:hAnsi="Verdana"/>
                <w:sz w:val="20"/>
                <w:u w:val="single"/>
              </w:rPr>
            </w:pPr>
            <w:r w:rsidRPr="00C8266C">
              <w:rPr>
                <w:b w:val="0"/>
                <w:bCs/>
                <w:smallCaps/>
                <w:sz w:val="20"/>
              </w:rPr>
              <w:t>E. Garin</w:t>
            </w:r>
            <w:r w:rsidRPr="00C8266C">
              <w:rPr>
                <w:b w:val="0"/>
                <w:bCs/>
                <w:color w:val="222222"/>
                <w:sz w:val="20"/>
                <w:shd w:val="clear" w:color="auto" w:fill="FFFFFF"/>
              </w:rPr>
              <w:t xml:space="preserve">, </w:t>
            </w:r>
            <w:r w:rsidRPr="00B72FFC">
              <w:rPr>
                <w:b w:val="0"/>
                <w:bCs/>
                <w:i/>
                <w:iCs/>
                <w:color w:val="222222"/>
                <w:sz w:val="20"/>
                <w:shd w:val="clear" w:color="auto" w:fill="FFFFFF"/>
              </w:rPr>
              <w:t>L'educazione in Europa : 1400-1600 : problemi e programmi</w:t>
            </w:r>
            <w:r w:rsidRPr="00C8266C">
              <w:rPr>
                <w:b w:val="0"/>
                <w:bCs/>
                <w:color w:val="222222"/>
                <w:sz w:val="20"/>
                <w:shd w:val="clear" w:color="auto" w:fill="FFFFFF"/>
              </w:rPr>
              <w:t>, Laterza Bari 1976</w:t>
            </w:r>
          </w:p>
        </w:tc>
      </w:tr>
      <w:tr w:rsidR="003667BB" w:rsidRPr="00B667CE" w14:paraId="628FAD8F" w14:textId="77777777" w:rsidTr="000528F4">
        <w:tc>
          <w:tcPr>
            <w:tcW w:w="1782" w:type="pct"/>
            <w:vAlign w:val="center"/>
          </w:tcPr>
          <w:p w14:paraId="2166D64E" w14:textId="77777777" w:rsidR="003667BB" w:rsidRPr="00B667CE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 xml:space="preserve">Prerequisiti                                               </w:t>
            </w:r>
            <w:r w:rsidRPr="007A3B62">
              <w:rPr>
                <w:rFonts w:ascii="Verdana" w:hAnsi="Verdana"/>
                <w:b w:val="0"/>
                <w:i/>
                <w:sz w:val="18"/>
                <w:szCs w:val="18"/>
              </w:rPr>
              <w:t>Es. conoscenza di lingue straniere o altro tipo di conoscenze</w:t>
            </w:r>
          </w:p>
        </w:tc>
        <w:tc>
          <w:tcPr>
            <w:tcW w:w="3218" w:type="pct"/>
            <w:vAlign w:val="center"/>
          </w:tcPr>
          <w:p w14:paraId="01382929" w14:textId="5C7BE1C5" w:rsidR="003667BB" w:rsidRPr="00B667CE" w:rsidRDefault="003667BB" w:rsidP="003667BB">
            <w:pPr>
              <w:pStyle w:val="Titolo"/>
              <w:spacing w:before="120" w:after="120"/>
              <w:ind w:right="113"/>
              <w:jc w:val="left"/>
              <w:rPr>
                <w:rFonts w:ascii="Verdana" w:hAnsi="Verdana"/>
                <w:sz w:val="20"/>
              </w:rPr>
            </w:pPr>
            <w:r w:rsidRPr="000C5FBD">
              <w:rPr>
                <w:b w:val="0"/>
                <w:sz w:val="20"/>
              </w:rPr>
              <w:t>Per gli studenti Erasmus e per gli studenti di madre lingua straniera è richiesta una buona conoscenza dell’italiano.</w:t>
            </w:r>
          </w:p>
        </w:tc>
      </w:tr>
      <w:tr w:rsidR="003667BB" w:rsidRPr="00B667CE" w14:paraId="21C2E8AC" w14:textId="77777777" w:rsidTr="00F202E2">
        <w:trPr>
          <w:trHeight w:val="531"/>
        </w:trPr>
        <w:tc>
          <w:tcPr>
            <w:tcW w:w="1782" w:type="pct"/>
            <w:vAlign w:val="center"/>
          </w:tcPr>
          <w:p w14:paraId="18572400" w14:textId="18CDEBE0" w:rsidR="003667BB" w:rsidRPr="0008264C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>Metodi didattici</w:t>
            </w:r>
          </w:p>
        </w:tc>
        <w:tc>
          <w:tcPr>
            <w:tcW w:w="3218" w:type="pct"/>
            <w:vAlign w:val="center"/>
          </w:tcPr>
          <w:p w14:paraId="620CD7E2" w14:textId="2EBA03ED" w:rsidR="003667BB" w:rsidRPr="00B667CE" w:rsidRDefault="003667BB" w:rsidP="003667BB">
            <w:pPr>
              <w:pStyle w:val="Titolo"/>
              <w:spacing w:before="120" w:after="120"/>
              <w:ind w:right="113"/>
              <w:jc w:val="left"/>
              <w:rPr>
                <w:rFonts w:ascii="Verdana" w:hAnsi="Verdana"/>
                <w:b w:val="0"/>
                <w:sz w:val="20"/>
              </w:rPr>
            </w:pPr>
            <w:r w:rsidRPr="000C5FBD">
              <w:rPr>
                <w:b w:val="0"/>
                <w:sz w:val="20"/>
              </w:rPr>
              <w:t>Lezioni e seminari. Sono previste ricerche individuali</w:t>
            </w:r>
          </w:p>
        </w:tc>
      </w:tr>
      <w:tr w:rsidR="003667BB" w:rsidRPr="00B667CE" w14:paraId="04157577" w14:textId="77777777" w:rsidTr="000528F4">
        <w:trPr>
          <w:trHeight w:val="233"/>
        </w:trPr>
        <w:tc>
          <w:tcPr>
            <w:tcW w:w="1782" w:type="pct"/>
            <w:vMerge w:val="restart"/>
            <w:vAlign w:val="center"/>
          </w:tcPr>
          <w:p w14:paraId="5ADEB3AD" w14:textId="77777777" w:rsidR="003667BB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57" w:right="113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>Descrizione delle modalità e dei criteri di verifica dell’apprendimento</w:t>
            </w:r>
          </w:p>
          <w:p w14:paraId="4D64D3B8" w14:textId="64ACE15D" w:rsidR="003667BB" w:rsidRPr="00F202E2" w:rsidRDefault="003667BB" w:rsidP="003667BB">
            <w:pPr>
              <w:pStyle w:val="Titolo"/>
              <w:spacing w:after="120"/>
              <w:ind w:left="357" w:right="113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BE3159">
              <w:rPr>
                <w:rFonts w:ascii="Verdana" w:hAnsi="Verdana"/>
                <w:b w:val="0"/>
                <w:i/>
                <w:color w:val="222222"/>
                <w:sz w:val="18"/>
                <w:szCs w:val="18"/>
                <w:shd w:val="clear" w:color="auto" w:fill="FFFFFF"/>
              </w:rPr>
              <w:t>Descrivere in modo articolato e diversificato tali modalità, oltre la semplice menzione dell’esame scritto/orale.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18DD7D1D" w14:textId="2CDF3A31" w:rsidR="003667BB" w:rsidRPr="003667BB" w:rsidRDefault="003667BB" w:rsidP="003667BB">
            <w:pPr>
              <w:pStyle w:val="Titolo"/>
              <w:spacing w:before="120" w:after="120"/>
              <w:ind w:right="113"/>
              <w:jc w:val="left"/>
              <w:rPr>
                <w:rFonts w:ascii="Verdana" w:hAnsi="Verdana"/>
                <w:b w:val="0"/>
                <w:bCs/>
                <w:sz w:val="20"/>
              </w:rPr>
            </w:pPr>
            <w:r w:rsidRPr="003667BB">
              <w:rPr>
                <w:b w:val="0"/>
                <w:bCs/>
                <w:sz w:val="20"/>
              </w:rPr>
              <w:t>La preparazione del candidato è valutata attraverso un esame orale. Gli elaborati scritti, da concordarsi previamente, le relazioni seminariali e le prove scritte intermedie costituiscono motivo di valutazione. Nella prova orale il candidato deve dimostrare di possedere una conoscenza approfondita dell’argomento trattato e buone capacità argomentative ed espositive.</w:t>
            </w:r>
          </w:p>
        </w:tc>
      </w:tr>
      <w:tr w:rsidR="003667BB" w:rsidRPr="003667BB" w14:paraId="5745BDE0" w14:textId="77777777" w:rsidTr="00C6153D">
        <w:trPr>
          <w:trHeight w:val="531"/>
        </w:trPr>
        <w:tc>
          <w:tcPr>
            <w:tcW w:w="1782" w:type="pct"/>
            <w:vMerge/>
            <w:vAlign w:val="center"/>
          </w:tcPr>
          <w:p w14:paraId="464804FC" w14:textId="77777777" w:rsidR="003667BB" w:rsidRPr="00B667CE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53F41E93" w14:textId="0AC84392" w:rsidR="003667BB" w:rsidRPr="003667BB" w:rsidRDefault="003667BB" w:rsidP="003667BB">
            <w:pPr>
              <w:pStyle w:val="Titolo"/>
              <w:spacing w:before="120" w:after="120"/>
              <w:ind w:right="113"/>
              <w:jc w:val="left"/>
              <w:rPr>
                <w:rFonts w:ascii="Verdana" w:hAnsi="Verdana"/>
                <w:b w:val="0"/>
                <w:bCs/>
                <w:sz w:val="20"/>
                <w:lang w:val="en-US"/>
              </w:rPr>
            </w:pPr>
            <w:r w:rsidRPr="003667BB">
              <w:rPr>
                <w:b w:val="0"/>
                <w:bCs/>
                <w:i/>
                <w:sz w:val="20"/>
                <w:lang w:val="en-US"/>
              </w:rPr>
              <w:t>The candidate’s preparation is assessed by means of an oral exam. The written papers, which will be agreed upon prior consultation with the Professor, together with seminar reports and mid-course written tests, will also be assessed. During the oral exam the candidate shall demonstrate their deep knowledge concerning the topics dealt with and their adequate argumentative and explanatory skills.</w:t>
            </w:r>
          </w:p>
        </w:tc>
      </w:tr>
      <w:tr w:rsidR="003667BB" w:rsidRPr="00B667CE" w14:paraId="12096678" w14:textId="77777777" w:rsidTr="000528F4">
        <w:trPr>
          <w:trHeight w:val="839"/>
        </w:trPr>
        <w:tc>
          <w:tcPr>
            <w:tcW w:w="1782" w:type="pct"/>
            <w:vAlign w:val="center"/>
          </w:tcPr>
          <w:p w14:paraId="2992175D" w14:textId="77777777" w:rsidR="003667BB" w:rsidRPr="00B667CE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>Criteri per l’assegnazione dell’elaborato finale</w:t>
            </w:r>
          </w:p>
        </w:tc>
        <w:tc>
          <w:tcPr>
            <w:tcW w:w="3218" w:type="pct"/>
            <w:vAlign w:val="center"/>
          </w:tcPr>
          <w:p w14:paraId="64970E38" w14:textId="7D4F692B" w:rsidR="003667BB" w:rsidRPr="00B667CE" w:rsidRDefault="003667BB" w:rsidP="003667BB">
            <w:pPr>
              <w:rPr>
                <w:rFonts w:ascii="Verdana" w:hAnsi="Verdana"/>
                <w:sz w:val="20"/>
                <w:szCs w:val="20"/>
              </w:rPr>
            </w:pPr>
            <w:r w:rsidRPr="000C5FBD">
              <w:rPr>
                <w:sz w:val="20"/>
                <w:szCs w:val="20"/>
              </w:rPr>
              <w:t>Lo studente deve aver superato brillantemente l’esame di Filosofia e storia del pensiero medievale e della disciplina linguistica, letteraria, filosofica collegata all’argomento dell’elaborato finale.</w:t>
            </w:r>
          </w:p>
        </w:tc>
      </w:tr>
      <w:tr w:rsidR="003667BB" w:rsidRPr="00B667CE" w14:paraId="717E381A" w14:textId="77777777" w:rsidTr="000528F4">
        <w:trPr>
          <w:trHeight w:val="839"/>
        </w:trPr>
        <w:tc>
          <w:tcPr>
            <w:tcW w:w="1782" w:type="pct"/>
            <w:vAlign w:val="center"/>
          </w:tcPr>
          <w:p w14:paraId="0DACC132" w14:textId="77777777" w:rsidR="003667BB" w:rsidRPr="00B667CE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i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lastRenderedPageBreak/>
              <w:t xml:space="preserve">Risultati di apprendimento attesi </w:t>
            </w:r>
            <w:r w:rsidRPr="00B667CE">
              <w:rPr>
                <w:rFonts w:ascii="Verdana" w:hAnsi="Verdana"/>
                <w:b w:val="0"/>
                <w:sz w:val="20"/>
              </w:rPr>
              <w:t>(secondo i descrittori di Dublino)</w:t>
            </w:r>
            <w:r w:rsidRPr="00B667CE">
              <w:rPr>
                <w:rFonts w:ascii="Verdana" w:hAnsi="Verdana"/>
                <w:sz w:val="20"/>
              </w:rPr>
              <w:t>:</w:t>
            </w:r>
          </w:p>
          <w:p w14:paraId="377C4619" w14:textId="77777777" w:rsidR="003667BB" w:rsidRPr="00B667CE" w:rsidRDefault="003667BB" w:rsidP="003667BB">
            <w:pPr>
              <w:pStyle w:val="Titolo"/>
              <w:spacing w:before="120" w:after="120"/>
              <w:ind w:left="360" w:right="113"/>
              <w:jc w:val="left"/>
              <w:rPr>
                <w:rFonts w:ascii="Verdana" w:hAnsi="Verdana"/>
                <w:i/>
                <w:sz w:val="20"/>
              </w:rPr>
            </w:pPr>
            <w:r w:rsidRPr="00B667CE">
              <w:rPr>
                <w:rFonts w:ascii="Verdana" w:hAnsi="Verdana"/>
                <w:i/>
                <w:sz w:val="20"/>
              </w:rPr>
              <w:t>Conoscenza e capacità di comprensione</w:t>
            </w:r>
          </w:p>
        </w:tc>
        <w:tc>
          <w:tcPr>
            <w:tcW w:w="3218" w:type="pct"/>
            <w:vAlign w:val="center"/>
          </w:tcPr>
          <w:p w14:paraId="359A09FE" w14:textId="2FF4E1FC" w:rsidR="003667BB" w:rsidRPr="00B667CE" w:rsidRDefault="003667BB" w:rsidP="003667BB">
            <w:pPr>
              <w:rPr>
                <w:rFonts w:ascii="Verdana" w:hAnsi="Verdana"/>
                <w:sz w:val="20"/>
                <w:szCs w:val="20"/>
              </w:rPr>
            </w:pPr>
            <w:r w:rsidRPr="000C5FBD">
              <w:rPr>
                <w:sz w:val="20"/>
                <w:szCs w:val="20"/>
              </w:rPr>
              <w:t>Acquisizione storico-critica delle correnti, degli autori e delle problematiche della filosofia, nel quadro della storiografia attuale, con particolare sviluppo delle capacità di analisi dei testi e delle competenze nell’uso degli strumenti della ricerca.</w:t>
            </w:r>
          </w:p>
        </w:tc>
      </w:tr>
      <w:tr w:rsidR="003667BB" w:rsidRPr="00B667CE" w14:paraId="2F5F3870" w14:textId="77777777" w:rsidTr="000528F4">
        <w:trPr>
          <w:trHeight w:val="839"/>
        </w:trPr>
        <w:tc>
          <w:tcPr>
            <w:tcW w:w="1782" w:type="pct"/>
            <w:vAlign w:val="center"/>
          </w:tcPr>
          <w:p w14:paraId="17F43227" w14:textId="77777777" w:rsidR="003667BB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i/>
                <w:sz w:val="20"/>
              </w:rPr>
            </w:pPr>
            <w:r w:rsidRPr="00535E40">
              <w:rPr>
                <w:rFonts w:ascii="Verdana" w:hAnsi="Verdana"/>
                <w:sz w:val="20"/>
              </w:rPr>
              <w:t xml:space="preserve">Risultati di apprendimento attesi </w:t>
            </w:r>
            <w:r w:rsidRPr="00535E40">
              <w:rPr>
                <w:rFonts w:ascii="Verdana" w:hAnsi="Verdana"/>
                <w:b w:val="0"/>
                <w:sz w:val="20"/>
              </w:rPr>
              <w:t>(secondo i descrittori di Dublino)</w:t>
            </w:r>
            <w:r w:rsidRPr="00535E40">
              <w:rPr>
                <w:rFonts w:ascii="Verdana" w:hAnsi="Verdana"/>
                <w:sz w:val="20"/>
              </w:rPr>
              <w:t>:</w:t>
            </w:r>
          </w:p>
          <w:p w14:paraId="035496AD" w14:textId="1C5585A1" w:rsidR="003667BB" w:rsidRPr="00F202E2" w:rsidRDefault="003667BB" w:rsidP="003667BB">
            <w:pPr>
              <w:pStyle w:val="Titolo"/>
              <w:spacing w:before="120" w:after="120"/>
              <w:ind w:left="360" w:right="113"/>
              <w:jc w:val="left"/>
              <w:rPr>
                <w:rFonts w:ascii="Verdana" w:hAnsi="Verdana"/>
                <w:i/>
                <w:sz w:val="20"/>
              </w:rPr>
            </w:pPr>
            <w:r w:rsidRPr="00F202E2">
              <w:rPr>
                <w:rFonts w:ascii="Verdana" w:hAnsi="Verdana"/>
                <w:i/>
                <w:sz w:val="20"/>
              </w:rPr>
              <w:t>Conoscenza e capacità di comprensione applicate</w:t>
            </w:r>
          </w:p>
        </w:tc>
        <w:tc>
          <w:tcPr>
            <w:tcW w:w="3218" w:type="pct"/>
            <w:vAlign w:val="center"/>
          </w:tcPr>
          <w:p w14:paraId="5F25273D" w14:textId="5E7B0963" w:rsidR="003667BB" w:rsidRPr="00B667CE" w:rsidRDefault="00F56EC3" w:rsidP="003667BB">
            <w:pPr>
              <w:rPr>
                <w:rFonts w:ascii="Verdana" w:hAnsi="Verdana"/>
                <w:sz w:val="20"/>
                <w:szCs w:val="20"/>
              </w:rPr>
            </w:pPr>
            <w:r w:rsidRPr="000C5FBD">
              <w:rPr>
                <w:sz w:val="20"/>
                <w:szCs w:val="20"/>
              </w:rPr>
              <w:t>Conoscenze relative alla composizione del testo filosofico nelle diverse forme letterarie e stili. Attitudine alla comprensione e all’interpretazione di testi filosofici e capacità di utilizzare gli strumenti scientifici e storiografici per l’inquadramento storico</w:t>
            </w:r>
            <w:r>
              <w:rPr>
                <w:sz w:val="20"/>
                <w:szCs w:val="20"/>
              </w:rPr>
              <w:t xml:space="preserve"> </w:t>
            </w:r>
            <w:r w:rsidRPr="000C5FBD">
              <w:rPr>
                <w:sz w:val="20"/>
                <w:szCs w:val="20"/>
              </w:rPr>
              <w:t>e storiografico.</w:t>
            </w:r>
          </w:p>
        </w:tc>
      </w:tr>
      <w:tr w:rsidR="003667BB" w:rsidRPr="00B667CE" w14:paraId="007B03B5" w14:textId="77777777" w:rsidTr="000528F4">
        <w:trPr>
          <w:trHeight w:val="839"/>
        </w:trPr>
        <w:tc>
          <w:tcPr>
            <w:tcW w:w="1782" w:type="pct"/>
            <w:vAlign w:val="center"/>
          </w:tcPr>
          <w:p w14:paraId="7304F308" w14:textId="09FEC9FE" w:rsidR="003667BB" w:rsidRPr="00535E40" w:rsidRDefault="003667BB" w:rsidP="003667BB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i/>
                <w:sz w:val="20"/>
              </w:rPr>
            </w:pPr>
            <w:r w:rsidRPr="00535E40">
              <w:rPr>
                <w:rFonts w:ascii="Verdana" w:hAnsi="Verdana"/>
                <w:sz w:val="20"/>
              </w:rPr>
              <w:t xml:space="preserve">Risultati di apprendimento attesi </w:t>
            </w:r>
            <w:r w:rsidRPr="00535E40">
              <w:rPr>
                <w:rFonts w:ascii="Verdana" w:hAnsi="Verdana"/>
                <w:b w:val="0"/>
                <w:sz w:val="20"/>
              </w:rPr>
              <w:t>(secondo i descrittori di Dublino)</w:t>
            </w:r>
            <w:r w:rsidRPr="00535E40">
              <w:rPr>
                <w:rFonts w:ascii="Verdana" w:hAnsi="Verdana"/>
                <w:sz w:val="20"/>
              </w:rPr>
              <w:t>:</w:t>
            </w:r>
          </w:p>
          <w:p w14:paraId="1FEC6BA6" w14:textId="77777777" w:rsidR="003667BB" w:rsidRPr="00535E40" w:rsidRDefault="003667BB" w:rsidP="003667BB">
            <w:pPr>
              <w:pStyle w:val="Titolo"/>
              <w:spacing w:before="120" w:after="120"/>
              <w:ind w:left="360" w:right="113"/>
              <w:jc w:val="left"/>
              <w:rPr>
                <w:rFonts w:ascii="Verdana" w:hAnsi="Verdana"/>
                <w:i/>
                <w:sz w:val="20"/>
              </w:rPr>
            </w:pPr>
            <w:r w:rsidRPr="00535E40">
              <w:rPr>
                <w:rFonts w:ascii="Verdana" w:hAnsi="Verdana"/>
                <w:i/>
                <w:sz w:val="20"/>
              </w:rPr>
              <w:t>Autonomia di giudizio</w:t>
            </w:r>
          </w:p>
        </w:tc>
        <w:tc>
          <w:tcPr>
            <w:tcW w:w="3218" w:type="pct"/>
            <w:vAlign w:val="center"/>
          </w:tcPr>
          <w:p w14:paraId="4BEA8EF4" w14:textId="73E329A1" w:rsidR="003667BB" w:rsidRPr="00B667CE" w:rsidRDefault="00F56EC3" w:rsidP="003667BB">
            <w:pPr>
              <w:rPr>
                <w:rFonts w:ascii="Verdana" w:hAnsi="Verdana"/>
                <w:sz w:val="20"/>
                <w:szCs w:val="20"/>
              </w:rPr>
            </w:pPr>
            <w:r w:rsidRPr="000C5FBD">
              <w:rPr>
                <w:sz w:val="20"/>
                <w:szCs w:val="20"/>
              </w:rPr>
              <w:t>Capacità di valutare correnti di pensiero, tradizioni filosofiche e autori, nel campo della filosofia. Tale capacità è sviluppata mediante l’analisi delle fonti, la conoscenza della storiografia e l’analisi comparata delle varie interpretazioni.</w:t>
            </w:r>
          </w:p>
        </w:tc>
      </w:tr>
      <w:tr w:rsidR="00F56EC3" w:rsidRPr="00B667CE" w14:paraId="758E992A" w14:textId="77777777" w:rsidTr="000528F4">
        <w:trPr>
          <w:trHeight w:val="839"/>
        </w:trPr>
        <w:tc>
          <w:tcPr>
            <w:tcW w:w="1782" w:type="pct"/>
            <w:vAlign w:val="center"/>
          </w:tcPr>
          <w:p w14:paraId="0A49DACC" w14:textId="71B7EB81" w:rsidR="00F56EC3" w:rsidRPr="00535E40" w:rsidRDefault="00F56EC3" w:rsidP="00F56EC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i/>
                <w:sz w:val="20"/>
              </w:rPr>
            </w:pPr>
            <w:r w:rsidRPr="00535E40">
              <w:rPr>
                <w:rFonts w:ascii="Verdana" w:hAnsi="Verdana"/>
                <w:sz w:val="20"/>
              </w:rPr>
              <w:t xml:space="preserve">Risultati di apprendimento attesi </w:t>
            </w:r>
            <w:r w:rsidRPr="00535E40">
              <w:rPr>
                <w:rFonts w:ascii="Verdana" w:hAnsi="Verdana"/>
                <w:b w:val="0"/>
                <w:sz w:val="20"/>
              </w:rPr>
              <w:t>(secondo i descrittori di Dublino)</w:t>
            </w:r>
            <w:r w:rsidRPr="00535E40">
              <w:rPr>
                <w:rFonts w:ascii="Verdana" w:hAnsi="Verdana"/>
                <w:sz w:val="20"/>
              </w:rPr>
              <w:t>:</w:t>
            </w:r>
          </w:p>
          <w:p w14:paraId="4E5B85BF" w14:textId="77777777" w:rsidR="00F56EC3" w:rsidRPr="00535E40" w:rsidRDefault="00F56EC3" w:rsidP="00F56EC3">
            <w:pPr>
              <w:pStyle w:val="Titolo"/>
              <w:spacing w:before="120" w:after="120"/>
              <w:ind w:left="360" w:right="113"/>
              <w:jc w:val="left"/>
              <w:rPr>
                <w:rFonts w:ascii="Verdana" w:hAnsi="Verdana"/>
                <w:i/>
                <w:sz w:val="20"/>
              </w:rPr>
            </w:pPr>
            <w:r w:rsidRPr="00535E40">
              <w:rPr>
                <w:rFonts w:ascii="Verdana" w:hAnsi="Verdana"/>
                <w:i/>
                <w:sz w:val="20"/>
              </w:rPr>
              <w:t>Abilità comunicative</w:t>
            </w:r>
          </w:p>
        </w:tc>
        <w:tc>
          <w:tcPr>
            <w:tcW w:w="3218" w:type="pct"/>
            <w:vAlign w:val="center"/>
          </w:tcPr>
          <w:p w14:paraId="2826DA3A" w14:textId="49BB1C35" w:rsidR="00F56EC3" w:rsidRPr="00B667CE" w:rsidRDefault="00F56EC3" w:rsidP="00F56EC3">
            <w:pPr>
              <w:rPr>
                <w:rFonts w:ascii="Verdana" w:hAnsi="Verdana"/>
                <w:sz w:val="20"/>
                <w:szCs w:val="20"/>
              </w:rPr>
            </w:pPr>
            <w:r w:rsidRPr="000C5FBD">
              <w:rPr>
                <w:sz w:val="20"/>
                <w:szCs w:val="20"/>
              </w:rPr>
              <w:t>Capacità di formulare argomentazioni in modo compiuto e coerente, sostenuta da buone disposizioni all’analisi critica e da adeguata padronanza del linguaggio filosofico</w:t>
            </w:r>
            <w:r w:rsidRPr="000C5FBD">
              <w:rPr>
                <w:sz w:val="20"/>
                <w:szCs w:val="20"/>
              </w:rPr>
              <w:br/>
              <w:t>Utilizzo delle forme retoriche classiche e contemporanee, in particolare per il discorso pubblico, anche nella prospettiva dell’insegnamento</w:t>
            </w:r>
          </w:p>
        </w:tc>
      </w:tr>
      <w:tr w:rsidR="00F56EC3" w:rsidRPr="00B667CE" w14:paraId="061646AD" w14:textId="77777777" w:rsidTr="000528F4">
        <w:trPr>
          <w:trHeight w:val="839"/>
        </w:trPr>
        <w:tc>
          <w:tcPr>
            <w:tcW w:w="1782" w:type="pct"/>
            <w:vAlign w:val="center"/>
          </w:tcPr>
          <w:p w14:paraId="7A96E600" w14:textId="262266A7" w:rsidR="00F56EC3" w:rsidRPr="00535E40" w:rsidRDefault="00F56EC3" w:rsidP="00F56EC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Verdana" w:hAnsi="Verdana"/>
                <w:i/>
                <w:sz w:val="20"/>
              </w:rPr>
            </w:pPr>
            <w:r w:rsidRPr="00B667CE">
              <w:rPr>
                <w:rFonts w:ascii="Verdana" w:hAnsi="Verdana"/>
                <w:sz w:val="20"/>
              </w:rPr>
              <w:t xml:space="preserve">Risultati di </w:t>
            </w:r>
            <w:r w:rsidRPr="00535E40">
              <w:rPr>
                <w:rFonts w:ascii="Verdana" w:hAnsi="Verdana"/>
                <w:sz w:val="20"/>
              </w:rPr>
              <w:t xml:space="preserve">apprendimento attesi </w:t>
            </w:r>
            <w:r w:rsidRPr="00535E40">
              <w:rPr>
                <w:rFonts w:ascii="Verdana" w:hAnsi="Verdana"/>
                <w:b w:val="0"/>
                <w:sz w:val="20"/>
              </w:rPr>
              <w:t>(secondo i descrittori di Dublino)</w:t>
            </w:r>
            <w:r w:rsidRPr="00535E40">
              <w:rPr>
                <w:rFonts w:ascii="Verdana" w:hAnsi="Verdana"/>
                <w:sz w:val="20"/>
              </w:rPr>
              <w:t>:</w:t>
            </w:r>
          </w:p>
          <w:p w14:paraId="0A02970C" w14:textId="77777777" w:rsidR="00F56EC3" w:rsidRPr="00B667CE" w:rsidRDefault="00F56EC3" w:rsidP="00F56EC3">
            <w:pPr>
              <w:pStyle w:val="Titolo"/>
              <w:spacing w:before="120" w:after="120"/>
              <w:ind w:left="360" w:right="113"/>
              <w:jc w:val="left"/>
              <w:rPr>
                <w:rFonts w:ascii="Verdana" w:hAnsi="Verdana"/>
                <w:i/>
                <w:sz w:val="20"/>
              </w:rPr>
            </w:pPr>
            <w:r w:rsidRPr="00B667CE">
              <w:rPr>
                <w:rFonts w:ascii="Verdana" w:hAnsi="Verdana"/>
                <w:i/>
                <w:sz w:val="20"/>
              </w:rPr>
              <w:t>Capacità di apprendere</w:t>
            </w:r>
          </w:p>
        </w:tc>
        <w:tc>
          <w:tcPr>
            <w:tcW w:w="3218" w:type="pct"/>
            <w:vAlign w:val="center"/>
          </w:tcPr>
          <w:p w14:paraId="20696361" w14:textId="75C20974" w:rsidR="00F56EC3" w:rsidRPr="00B667CE" w:rsidRDefault="00F56EC3" w:rsidP="00F56EC3">
            <w:pPr>
              <w:rPr>
                <w:rFonts w:ascii="Verdana" w:hAnsi="Verdana"/>
                <w:sz w:val="20"/>
                <w:szCs w:val="20"/>
              </w:rPr>
            </w:pPr>
            <w:r w:rsidRPr="000C5FBD">
              <w:rPr>
                <w:sz w:val="20"/>
                <w:szCs w:val="20"/>
              </w:rPr>
              <w:t xml:space="preserve">Il riferimento agli strumenti consueti – manuali, lessici, enciclopedie, raccolte bibliografiche – è costantemente associato alla conoscenza delle fonti e alla trattazione dei temi filosofici presentati. Lo studente </w:t>
            </w:r>
            <w:proofErr w:type="spellStart"/>
            <w:r w:rsidRPr="000C5FBD">
              <w:rPr>
                <w:sz w:val="20"/>
                <w:szCs w:val="20"/>
              </w:rPr>
              <w:t>dovra</w:t>
            </w:r>
            <w:proofErr w:type="spellEnd"/>
            <w:r w:rsidRPr="000C5FBD">
              <w:rPr>
                <w:sz w:val="20"/>
                <w:szCs w:val="20"/>
              </w:rPr>
              <w:t>̀ dimostrare attitudine a comprendere le problematiche filosofiche, a collocarle nel loro contesto storico e culturale, a sviluppare ulteriori ricerche sulla base di quanto ha appreso</w:t>
            </w:r>
          </w:p>
        </w:tc>
      </w:tr>
    </w:tbl>
    <w:p w14:paraId="1FA2046F" w14:textId="77777777" w:rsidR="00AF1FBC" w:rsidRPr="00B47AD2" w:rsidRDefault="00AF1FBC" w:rsidP="0008264C">
      <w:pPr>
        <w:ind w:left="540" w:right="506"/>
        <w:rPr>
          <w:rFonts w:ascii="Baskerville Old Face" w:hAnsi="Baskerville Old Face"/>
          <w:sz w:val="6"/>
          <w:szCs w:val="6"/>
        </w:rPr>
      </w:pPr>
    </w:p>
    <w:sectPr w:rsidR="00AF1FBC" w:rsidRPr="00B47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651D0"/>
    <w:multiLevelType w:val="hybridMultilevel"/>
    <w:tmpl w:val="DCCE5588"/>
    <w:lvl w:ilvl="0" w:tplc="9D4A8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618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BC"/>
    <w:rsid w:val="0008264C"/>
    <w:rsid w:val="0008434B"/>
    <w:rsid w:val="000E2B74"/>
    <w:rsid w:val="00172612"/>
    <w:rsid w:val="001A16B0"/>
    <w:rsid w:val="002C62E3"/>
    <w:rsid w:val="003365C6"/>
    <w:rsid w:val="003667BB"/>
    <w:rsid w:val="00535E40"/>
    <w:rsid w:val="005C5273"/>
    <w:rsid w:val="00624B64"/>
    <w:rsid w:val="006F3A42"/>
    <w:rsid w:val="007261E4"/>
    <w:rsid w:val="00733CEA"/>
    <w:rsid w:val="00773828"/>
    <w:rsid w:val="007852E6"/>
    <w:rsid w:val="007A3B62"/>
    <w:rsid w:val="007A7E1A"/>
    <w:rsid w:val="008119EB"/>
    <w:rsid w:val="008B2290"/>
    <w:rsid w:val="008C38D4"/>
    <w:rsid w:val="008E7444"/>
    <w:rsid w:val="009879BE"/>
    <w:rsid w:val="00A35238"/>
    <w:rsid w:val="00AF1FBC"/>
    <w:rsid w:val="00C6153D"/>
    <w:rsid w:val="00C86DC2"/>
    <w:rsid w:val="00D53DFE"/>
    <w:rsid w:val="00EE19AA"/>
    <w:rsid w:val="00F1351A"/>
    <w:rsid w:val="00F202E2"/>
    <w:rsid w:val="00F40CEA"/>
    <w:rsid w:val="00F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C32"/>
  <w15:chartTrackingRefBased/>
  <w15:docId w15:val="{EC13F7BD-8E8F-4E89-8A32-2294FA2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F1F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F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F1FBC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AF1FB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uiPriority w:val="99"/>
    <w:rsid w:val="005C527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667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 Carlo</dc:creator>
  <cp:keywords/>
  <dc:description/>
  <cp:lastModifiedBy>Riccardo Grassi</cp:lastModifiedBy>
  <cp:revision>2</cp:revision>
  <dcterms:created xsi:type="dcterms:W3CDTF">2023-05-17T11:25:00Z</dcterms:created>
  <dcterms:modified xsi:type="dcterms:W3CDTF">2023-05-17T11:25:00Z</dcterms:modified>
</cp:coreProperties>
</file>