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53" w:rsidRPr="00494280" w:rsidRDefault="00465753" w:rsidP="00494280">
      <w:pPr>
        <w:jc w:val="center"/>
        <w:rPr>
          <w:b/>
          <w:sz w:val="24"/>
          <w:szCs w:val="24"/>
        </w:rPr>
      </w:pPr>
      <w:r w:rsidRPr="00494280">
        <w:rPr>
          <w:b/>
          <w:sz w:val="24"/>
          <w:szCs w:val="24"/>
        </w:rPr>
        <w:t>Finanza Aziendale</w:t>
      </w:r>
      <w:r w:rsidR="006F7941">
        <w:rPr>
          <w:b/>
          <w:sz w:val="24"/>
          <w:szCs w:val="24"/>
        </w:rPr>
        <w:t xml:space="preserve"> a.a.</w:t>
      </w:r>
      <w:r w:rsidRPr="00494280">
        <w:rPr>
          <w:b/>
          <w:sz w:val="24"/>
          <w:szCs w:val="24"/>
        </w:rPr>
        <w:t xml:space="preserve"> 2018-2019</w:t>
      </w:r>
      <w:r w:rsidRPr="00494280">
        <w:rPr>
          <w:b/>
          <w:sz w:val="24"/>
          <w:szCs w:val="24"/>
        </w:rPr>
        <w:br/>
        <w:t>Prof. Giovanni Battista Dagnino</w:t>
      </w:r>
    </w:p>
    <w:p w:rsidR="00574C22" w:rsidRPr="006F7941" w:rsidRDefault="00574C22" w:rsidP="00465753">
      <w:pPr>
        <w:jc w:val="center"/>
        <w:rPr>
          <w:b/>
          <w:sz w:val="28"/>
          <w:szCs w:val="28"/>
        </w:rPr>
      </w:pPr>
    </w:p>
    <w:p w:rsidR="00465753" w:rsidRPr="00465753" w:rsidRDefault="00465753" w:rsidP="00465753">
      <w:pPr>
        <w:jc w:val="center"/>
        <w:rPr>
          <w:b/>
          <w:sz w:val="28"/>
          <w:szCs w:val="28"/>
          <w:lang w:val="en-US"/>
        </w:rPr>
      </w:pPr>
      <w:r w:rsidRPr="00465753">
        <w:rPr>
          <w:b/>
          <w:sz w:val="28"/>
          <w:szCs w:val="28"/>
          <w:lang w:val="en-US"/>
        </w:rPr>
        <w:t>In-class Role Playing, 11th December 2018</w:t>
      </w:r>
    </w:p>
    <w:p w:rsidR="00574C22" w:rsidRPr="00574C22" w:rsidRDefault="00574C22" w:rsidP="00574C22">
      <w:pPr>
        <w:shd w:val="clear" w:color="auto" w:fill="FFFFFF"/>
        <w:spacing w:beforeAutospacing="1" w:after="0" w:afterAutospacing="1" w:line="240" w:lineRule="auto"/>
        <w:jc w:val="center"/>
        <w:rPr>
          <w:rFonts w:eastAsia="Times New Roman" w:cs="Times New Roman"/>
          <w:spacing w:val="1"/>
          <w:lang w:val="en-US" w:eastAsia="it-IT"/>
        </w:rPr>
      </w:pPr>
      <w:r>
        <w:rPr>
          <w:rFonts w:eastAsia="Times New Roman" w:cs="Times New Roman"/>
          <w:b/>
          <w:spacing w:val="1"/>
          <w:lang w:val="en-US" w:eastAsia="it-IT"/>
        </w:rPr>
        <w:t xml:space="preserve">Students’ </w:t>
      </w:r>
      <w:r w:rsidRPr="00465753">
        <w:rPr>
          <w:rFonts w:eastAsia="Times New Roman" w:cs="Times New Roman"/>
          <w:b/>
          <w:spacing w:val="1"/>
          <w:lang w:val="en-US" w:eastAsia="it-IT"/>
        </w:rPr>
        <w:t>Guidelines</w:t>
      </w:r>
      <w:r>
        <w:rPr>
          <w:rFonts w:eastAsia="Times New Roman" w:cs="Times New Roman"/>
          <w:b/>
          <w:spacing w:val="1"/>
          <w:lang w:val="en-US" w:eastAsia="it-IT"/>
        </w:rPr>
        <w:t xml:space="preserve"> for case preparation</w:t>
      </w:r>
    </w:p>
    <w:p w:rsidR="00465753" w:rsidRPr="00465753" w:rsidRDefault="00465753" w:rsidP="00574C22">
      <w:pPr>
        <w:shd w:val="clear" w:color="auto" w:fill="FFFFFF"/>
        <w:spacing w:beforeAutospacing="1" w:after="0" w:afterAutospacing="1" w:line="240" w:lineRule="auto"/>
        <w:jc w:val="center"/>
        <w:rPr>
          <w:rFonts w:eastAsia="Times New Roman" w:cs="Times New Roman"/>
          <w:spacing w:val="1"/>
          <w:lang w:val="en-US" w:eastAsia="it-IT"/>
        </w:rPr>
      </w:pPr>
      <w:hyperlink r:id="rId7" w:tgtFrame="_blank" w:tooltip="buyout of Harrah's casino chain back in 2006" w:history="1">
        <w:r w:rsidRPr="00465753">
          <w:rPr>
            <w:rFonts w:eastAsia="Times New Roman" w:cs="Times New Roman"/>
            <w:b/>
            <w:spacing w:val="1"/>
            <w:lang w:val="en-US" w:eastAsia="it-IT"/>
          </w:rPr>
          <w:t>Buyout of Harrah’s casino chain in 20</w:t>
        </w:r>
        <w:r w:rsidRPr="00465753">
          <w:rPr>
            <w:rFonts w:eastAsia="Times New Roman" w:cs="Times New Roman"/>
            <w:b/>
            <w:spacing w:val="1"/>
            <w:lang w:val="en-US" w:eastAsia="it-IT"/>
          </w:rPr>
          <w:t>06</w:t>
        </w:r>
      </w:hyperlink>
      <w:r w:rsidRPr="00465753">
        <w:rPr>
          <w:rFonts w:eastAsia="Times New Roman" w:cs="Times New Roman"/>
          <w:spacing w:val="1"/>
          <w:lang w:val="en-US" w:eastAsia="it-IT"/>
        </w:rPr>
        <w:t>:</w:t>
      </w:r>
    </w:p>
    <w:p w:rsidR="00465753" w:rsidRPr="00465753" w:rsidRDefault="00465753" w:rsidP="00465753">
      <w:pPr>
        <w:numPr>
          <w:ilvl w:val="0"/>
          <w:numId w:val="1"/>
        </w:numPr>
        <w:shd w:val="clear" w:color="auto" w:fill="FFFFFF"/>
        <w:spacing w:after="28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Harrah’s is a compelling investment that could generate a 5-year IRR of 15-20% with reasonable assumptions</w:t>
      </w:r>
    </w:p>
    <w:p w:rsidR="00465753" w:rsidRPr="00465753" w:rsidRDefault="00465753" w:rsidP="00465753">
      <w:pPr>
        <w:numPr>
          <w:ilvl w:val="0"/>
          <w:numId w:val="1"/>
        </w:numPr>
        <w:shd w:val="clear" w:color="auto" w:fill="FFFFFF"/>
        <w:spacing w:after="28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Supported by strong market fundamentals, success in recent international expansion, and healthy cash flow</w:t>
      </w:r>
    </w:p>
    <w:p w:rsidR="00465753" w:rsidRPr="00465753" w:rsidRDefault="00465753" w:rsidP="00465753">
      <w:pPr>
        <w:numPr>
          <w:ilvl w:val="0"/>
          <w:numId w:val="1"/>
        </w:numPr>
        <w:shd w:val="clear" w:color="auto" w:fill="FFFFFF"/>
        <w:spacing w:after="28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Current public market valuation under-values company by approximately 10%, creating solid investment opportunity</w:t>
      </w:r>
    </w:p>
    <w:p w:rsidR="00465753" w:rsidRPr="00465753" w:rsidRDefault="00465753" w:rsidP="00465753">
      <w:pPr>
        <w:numPr>
          <w:ilvl w:val="0"/>
          <w:numId w:val="1"/>
        </w:numPr>
        <w:shd w:val="clear" w:color="auto" w:fill="FFFFFF"/>
        <w:spacing w:after="28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Key investment risk is strength of US economy and risk of consumer spending falling</w:t>
      </w:r>
    </w:p>
    <w:p w:rsidR="00465753" w:rsidRPr="00465753" w:rsidRDefault="00465753" w:rsidP="00465753">
      <w:pPr>
        <w:shd w:val="clear" w:color="auto" w:fill="FFFFFF"/>
        <w:spacing w:beforeAutospacing="1" w:after="0" w:afterAutospacing="1" w:line="240" w:lineRule="auto"/>
        <w:rPr>
          <w:rFonts w:eastAsia="Times New Roman" w:cs="Times New Roman"/>
          <w:spacing w:val="1"/>
          <w:lang w:val="en-US" w:eastAsia="it-IT"/>
        </w:rPr>
      </w:pPr>
      <w:r w:rsidRPr="00465753">
        <w:rPr>
          <w:rFonts w:eastAsia="Times New Roman" w:cs="Times New Roman"/>
          <w:spacing w:val="1"/>
          <w:lang w:val="en-US" w:eastAsia="it-IT"/>
        </w:rPr>
        <w:t>Yes, I realize this deal was a great example of an </w:t>
      </w:r>
      <w:hyperlink r:id="rId8" w:tgtFrame="_blank" w:tooltip="investment gone horribly wrong" w:history="1">
        <w:r w:rsidRPr="00465753">
          <w:rPr>
            <w:rFonts w:eastAsia="Times New Roman" w:cs="Times New Roman"/>
            <w:spacing w:val="1"/>
            <w:lang w:val="en-US" w:eastAsia="it-IT"/>
          </w:rPr>
          <w:t>investment gone horribly wrong</w:t>
        </w:r>
      </w:hyperlink>
      <w:r w:rsidRPr="00465753">
        <w:rPr>
          <w:rFonts w:eastAsia="Times New Roman" w:cs="Times New Roman"/>
          <w:spacing w:val="1"/>
          <w:lang w:val="en-US" w:eastAsia="it-IT"/>
        </w:rPr>
        <w:t xml:space="preserve"> once the casino industry imploded, but these points are for illustrative purposes.</w:t>
      </w:r>
    </w:p>
    <w:p w:rsidR="00465753" w:rsidRPr="00465753" w:rsidRDefault="00465753" w:rsidP="00465753">
      <w:pPr>
        <w:shd w:val="clear" w:color="auto" w:fill="FFFFFF"/>
        <w:spacing w:after="0" w:line="240" w:lineRule="auto"/>
        <w:rPr>
          <w:rFonts w:eastAsia="Times New Roman" w:cs="Times New Roman"/>
          <w:color w:val="252525"/>
          <w:lang w:eastAsia="it-IT"/>
        </w:rPr>
      </w:pPr>
      <w:proofErr w:type="spellStart"/>
      <w:r w:rsidRPr="00465753">
        <w:rPr>
          <w:rFonts w:eastAsia="Times New Roman" w:cs="Times New Roman"/>
          <w:b/>
          <w:color w:val="252525"/>
          <w:lang w:eastAsia="it-IT"/>
        </w:rPr>
        <w:t>Analyze</w:t>
      </w:r>
      <w:proofErr w:type="spellEnd"/>
    </w:p>
    <w:p w:rsidR="00465753" w:rsidRPr="00465753" w:rsidRDefault="00465753" w:rsidP="00465753">
      <w:pPr>
        <w:shd w:val="clear" w:color="auto" w:fill="FFFFFF"/>
        <w:spacing w:after="0" w:line="240" w:lineRule="auto"/>
        <w:ind w:left="300"/>
        <w:rPr>
          <w:rFonts w:eastAsia="Times New Roman" w:cs="Times New Roman"/>
          <w:color w:val="252525"/>
          <w:lang w:eastAsia="it-IT"/>
        </w:rPr>
      </w:pPr>
    </w:p>
    <w:p w:rsidR="00465753" w:rsidRPr="00465753" w:rsidRDefault="00465753" w:rsidP="00465753">
      <w:pPr>
        <w:numPr>
          <w:ilvl w:val="0"/>
          <w:numId w:val="2"/>
        </w:numPr>
        <w:shd w:val="clear" w:color="auto" w:fill="FFFFFF"/>
        <w:spacing w:after="0" w:line="240" w:lineRule="auto"/>
        <w:ind w:left="300"/>
        <w:rPr>
          <w:rFonts w:eastAsia="Times New Roman" w:cs="Times New Roman"/>
          <w:color w:val="252525"/>
          <w:lang w:eastAsia="it-IT"/>
        </w:rPr>
      </w:pPr>
      <w:r w:rsidRPr="00465753">
        <w:rPr>
          <w:rFonts w:eastAsia="Times New Roman" w:cs="Times New Roman"/>
          <w:b/>
          <w:bCs/>
          <w:color w:val="252525"/>
          <w:lang w:val="en-US" w:eastAsia="it-IT"/>
        </w:rPr>
        <w:t>Market:</w:t>
      </w:r>
      <w:r w:rsidRPr="00465753">
        <w:rPr>
          <w:rFonts w:eastAsia="Times New Roman" w:cs="Times New Roman"/>
          <w:color w:val="252525"/>
          <w:lang w:val="en-US" w:eastAsia="it-IT"/>
        </w:rPr>
        <w:t xml:space="preserve"> Is this an industry that’s growing? Will it grow more quickly/slowly in future years? Do you see positive or negative trends due to technology / regulations / competitors? </w:t>
      </w:r>
      <w:proofErr w:type="spellStart"/>
      <w:r w:rsidRPr="00465753">
        <w:rPr>
          <w:rFonts w:eastAsia="Times New Roman" w:cs="Times New Roman"/>
          <w:color w:val="252525"/>
          <w:lang w:eastAsia="it-IT"/>
        </w:rPr>
        <w:t>Where</w:t>
      </w:r>
      <w:proofErr w:type="spellEnd"/>
      <w:r w:rsidRPr="00465753">
        <w:rPr>
          <w:rFonts w:eastAsia="Times New Roman" w:cs="Times New Roman"/>
          <w:color w:val="252525"/>
          <w:lang w:eastAsia="it-IT"/>
        </w:rPr>
        <w:t xml:space="preserve"> </w:t>
      </w:r>
      <w:proofErr w:type="spellStart"/>
      <w:r w:rsidRPr="00465753">
        <w:rPr>
          <w:rFonts w:eastAsia="Times New Roman" w:cs="Times New Roman"/>
          <w:color w:val="252525"/>
          <w:lang w:eastAsia="it-IT"/>
        </w:rPr>
        <w:t>does</w:t>
      </w:r>
      <w:proofErr w:type="spellEnd"/>
      <w:r w:rsidRPr="00465753">
        <w:rPr>
          <w:rFonts w:eastAsia="Times New Roman" w:cs="Times New Roman"/>
          <w:color w:val="252525"/>
          <w:lang w:eastAsia="it-IT"/>
        </w:rPr>
        <w:t xml:space="preserve"> </w:t>
      </w:r>
      <w:proofErr w:type="spellStart"/>
      <w:r w:rsidRPr="00465753">
        <w:rPr>
          <w:rFonts w:eastAsia="Times New Roman" w:cs="Times New Roman"/>
          <w:color w:val="252525"/>
          <w:lang w:eastAsia="it-IT"/>
        </w:rPr>
        <w:t>this</w:t>
      </w:r>
      <w:proofErr w:type="spellEnd"/>
      <w:r w:rsidRPr="00465753">
        <w:rPr>
          <w:rFonts w:eastAsia="Times New Roman" w:cs="Times New Roman"/>
          <w:color w:val="252525"/>
          <w:lang w:eastAsia="it-IT"/>
        </w:rPr>
        <w:t xml:space="preserve"> company stand </w:t>
      </w:r>
      <w:proofErr w:type="spellStart"/>
      <w:r w:rsidRPr="00465753">
        <w:rPr>
          <w:rFonts w:eastAsia="Times New Roman" w:cs="Times New Roman"/>
          <w:color w:val="252525"/>
          <w:lang w:eastAsia="it-IT"/>
        </w:rPr>
        <w:t>next</w:t>
      </w:r>
      <w:proofErr w:type="spellEnd"/>
      <w:r w:rsidRPr="00465753">
        <w:rPr>
          <w:rFonts w:eastAsia="Times New Roman" w:cs="Times New Roman"/>
          <w:color w:val="252525"/>
          <w:lang w:eastAsia="it-IT"/>
        </w:rPr>
        <w:t xml:space="preserve"> to the competition?</w:t>
      </w:r>
    </w:p>
    <w:p w:rsidR="00465753" w:rsidRPr="00465753" w:rsidRDefault="00465753" w:rsidP="00465753">
      <w:pPr>
        <w:shd w:val="clear" w:color="auto" w:fill="FFFFFF"/>
        <w:spacing w:after="0" w:line="240" w:lineRule="auto"/>
        <w:ind w:left="300"/>
        <w:rPr>
          <w:rFonts w:eastAsia="Times New Roman" w:cs="Times New Roman"/>
          <w:color w:val="252525"/>
          <w:lang w:eastAsia="it-IT"/>
        </w:rPr>
      </w:pPr>
    </w:p>
    <w:p w:rsidR="00465753" w:rsidRPr="00465753" w:rsidRDefault="00465753" w:rsidP="00465753">
      <w:pPr>
        <w:numPr>
          <w:ilvl w:val="0"/>
          <w:numId w:val="2"/>
        </w:numPr>
        <w:shd w:val="clear" w:color="auto" w:fill="FFFFFF"/>
        <w:spacing w:after="0" w:line="240" w:lineRule="auto"/>
        <w:ind w:left="300"/>
        <w:rPr>
          <w:rFonts w:eastAsia="Times New Roman" w:cs="Times New Roman"/>
          <w:color w:val="252525"/>
          <w:lang w:eastAsia="it-IT"/>
        </w:rPr>
      </w:pPr>
      <w:r w:rsidRPr="00465753">
        <w:rPr>
          <w:rFonts w:eastAsia="Times New Roman" w:cs="Times New Roman"/>
          <w:b/>
          <w:bCs/>
          <w:color w:val="252525"/>
          <w:lang w:val="en-US" w:eastAsia="it-IT"/>
        </w:rPr>
        <w:t>Competition:</w:t>
      </w:r>
      <w:r w:rsidRPr="00465753">
        <w:rPr>
          <w:rFonts w:eastAsia="Times New Roman" w:cs="Times New Roman"/>
          <w:color w:val="252525"/>
          <w:lang w:val="en-US" w:eastAsia="it-IT"/>
        </w:rPr>
        <w:t xml:space="preserve"> How does this company fare against its competitors? Does it have some type of unique advantage that others can’t replicate? </w:t>
      </w:r>
      <w:proofErr w:type="spellStart"/>
      <w:r w:rsidRPr="00465753">
        <w:rPr>
          <w:rFonts w:eastAsia="Times New Roman" w:cs="Times New Roman"/>
          <w:color w:val="252525"/>
          <w:lang w:eastAsia="it-IT"/>
        </w:rPr>
        <w:t>What</w:t>
      </w:r>
      <w:proofErr w:type="spellEnd"/>
      <w:r w:rsidRPr="00465753">
        <w:rPr>
          <w:rFonts w:eastAsia="Times New Roman" w:cs="Times New Roman"/>
          <w:color w:val="252525"/>
          <w:lang w:eastAsia="it-IT"/>
        </w:rPr>
        <w:t xml:space="preserve"> </w:t>
      </w:r>
      <w:proofErr w:type="spellStart"/>
      <w:r w:rsidRPr="00465753">
        <w:rPr>
          <w:rFonts w:eastAsia="Times New Roman" w:cs="Times New Roman"/>
          <w:color w:val="252525"/>
          <w:lang w:eastAsia="it-IT"/>
        </w:rPr>
        <w:t>about</w:t>
      </w:r>
      <w:proofErr w:type="spellEnd"/>
      <w:r w:rsidRPr="00465753">
        <w:rPr>
          <w:rFonts w:eastAsia="Times New Roman" w:cs="Times New Roman"/>
          <w:color w:val="252525"/>
          <w:lang w:eastAsia="it-IT"/>
        </w:rPr>
        <w:t xml:space="preserve"> the </w:t>
      </w:r>
      <w:proofErr w:type="spellStart"/>
      <w:r w:rsidRPr="00465753">
        <w:rPr>
          <w:rFonts w:eastAsia="Times New Roman" w:cs="Times New Roman"/>
          <w:color w:val="252525"/>
          <w:lang w:eastAsia="it-IT"/>
        </w:rPr>
        <w:t>barriers</w:t>
      </w:r>
      <w:proofErr w:type="spellEnd"/>
      <w:r w:rsidRPr="00465753">
        <w:rPr>
          <w:rFonts w:eastAsia="Times New Roman" w:cs="Times New Roman"/>
          <w:color w:val="252525"/>
          <w:lang w:eastAsia="it-IT"/>
        </w:rPr>
        <w:t xml:space="preserve"> to entry?</w:t>
      </w:r>
    </w:p>
    <w:p w:rsidR="00465753" w:rsidRPr="00465753" w:rsidRDefault="00465753" w:rsidP="00465753">
      <w:pPr>
        <w:shd w:val="clear" w:color="auto" w:fill="FFFFFF"/>
        <w:spacing w:after="0" w:line="240" w:lineRule="auto"/>
        <w:ind w:left="300"/>
        <w:rPr>
          <w:rFonts w:eastAsia="Times New Roman" w:cs="Times New Roman"/>
          <w:color w:val="252525"/>
          <w:lang w:val="en-US" w:eastAsia="it-IT"/>
        </w:rPr>
      </w:pPr>
    </w:p>
    <w:p w:rsidR="00465753" w:rsidRPr="00465753" w:rsidRDefault="00465753" w:rsidP="00465753">
      <w:pPr>
        <w:numPr>
          <w:ilvl w:val="0"/>
          <w:numId w:val="2"/>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b/>
          <w:bCs/>
          <w:color w:val="252525"/>
          <w:lang w:val="en-US" w:eastAsia="it-IT"/>
        </w:rPr>
        <w:t>Growth Opportunities:</w:t>
      </w:r>
      <w:r w:rsidRPr="00465753">
        <w:rPr>
          <w:rFonts w:eastAsia="Times New Roman" w:cs="Times New Roman"/>
          <w:color w:val="252525"/>
          <w:lang w:val="en-US" w:eastAsia="it-IT"/>
        </w:rPr>
        <w:t> How quickly can the company grow in the future? Is there any “low hanging fruit” or room to easily win more customers / revenue in the future? Do you expect it to grow faster or slower than the market as a whole?</w:t>
      </w:r>
    </w:p>
    <w:p w:rsidR="00465753" w:rsidRPr="00465753" w:rsidRDefault="00465753" w:rsidP="00465753">
      <w:pPr>
        <w:shd w:val="clear" w:color="auto" w:fill="FFFFFF"/>
        <w:spacing w:after="0" w:line="240" w:lineRule="auto"/>
        <w:ind w:left="300"/>
        <w:rPr>
          <w:rFonts w:eastAsia="Times New Roman" w:cs="Times New Roman"/>
          <w:color w:val="252525"/>
          <w:lang w:val="en-US" w:eastAsia="it-IT"/>
        </w:rPr>
      </w:pPr>
    </w:p>
    <w:p w:rsidR="00465753" w:rsidRPr="00465753" w:rsidRDefault="00465753" w:rsidP="00465753">
      <w:pPr>
        <w:numPr>
          <w:ilvl w:val="0"/>
          <w:numId w:val="2"/>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b/>
          <w:bCs/>
          <w:color w:val="252525"/>
          <w:lang w:val="en-US" w:eastAsia="it-IT"/>
        </w:rPr>
        <w:t>Risks:</w:t>
      </w:r>
      <w:r w:rsidRPr="00465753">
        <w:rPr>
          <w:rFonts w:eastAsia="Times New Roman" w:cs="Times New Roman"/>
          <w:color w:val="252525"/>
          <w:lang w:val="en-US" w:eastAsia="it-IT"/>
        </w:rPr>
        <w:t> Every investment carries with it risks – are the key risks here related to the market, or the economy as a whole? To the competition? To government regulations? And is there any way of mitigating these risks?</w:t>
      </w:r>
    </w:p>
    <w:p w:rsidR="00465753" w:rsidRPr="00465753" w:rsidRDefault="00465753" w:rsidP="00465753">
      <w:pPr>
        <w:shd w:val="clear" w:color="auto" w:fill="FFFFFF"/>
        <w:spacing w:after="0" w:line="240" w:lineRule="auto"/>
        <w:ind w:left="300"/>
        <w:rPr>
          <w:rFonts w:eastAsia="Times New Roman" w:cs="Times New Roman"/>
          <w:color w:val="252525"/>
          <w:lang w:val="en-US" w:eastAsia="it-IT"/>
        </w:rPr>
      </w:pPr>
    </w:p>
    <w:p w:rsidR="00465753" w:rsidRPr="00465753" w:rsidRDefault="00465753" w:rsidP="00465753">
      <w:pPr>
        <w:numPr>
          <w:ilvl w:val="0"/>
          <w:numId w:val="2"/>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b/>
          <w:bCs/>
          <w:color w:val="252525"/>
          <w:lang w:val="en-US" w:eastAsia="it-IT"/>
        </w:rPr>
        <w:t>Other:</w:t>
      </w:r>
      <w:r w:rsidRPr="00465753">
        <w:rPr>
          <w:rFonts w:eastAsia="Times New Roman" w:cs="Times New Roman"/>
          <w:color w:val="252525"/>
          <w:lang w:val="en-US" w:eastAsia="it-IT"/>
        </w:rPr>
        <w:t> If there’s anything especially notable about the management team, the products/services or other items unique to the deal, you can mention them as well – but stay away from saying, “The CEO is great!” because you have no way of knowing that.</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Focus on the first 4 items</w:t>
      </w:r>
      <w:r w:rsidRPr="00465753">
        <w:rPr>
          <w:rFonts w:eastAsia="Times New Roman" w:cs="Times New Roman"/>
          <w:color w:val="252525"/>
          <w:spacing w:val="1"/>
          <w:lang w:val="en-US" w:eastAsia="it-IT"/>
        </w:rPr>
        <w:t> because those are the main ones that impact your </w:t>
      </w:r>
      <w:r w:rsidRPr="00465753">
        <w:rPr>
          <w:rFonts w:eastAsia="Times New Roman" w:cs="Times New Roman"/>
          <w:b/>
          <w:bCs/>
          <w:color w:val="252525"/>
          <w:spacing w:val="1"/>
          <w:lang w:val="en-US" w:eastAsia="it-IT"/>
        </w:rPr>
        <w:t>investment decision</w:t>
      </w:r>
      <w:r w:rsidRPr="00465753">
        <w:rPr>
          <w:rFonts w:eastAsia="Times New Roman" w:cs="Times New Roman"/>
          <w:color w:val="252525"/>
          <w:spacing w:val="1"/>
          <w:lang w:val="en-US" w:eastAsia="it-IT"/>
        </w:rPr>
        <w:t>.</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Valuation</w:t>
      </w:r>
      <w:r w:rsidRPr="00465753">
        <w:rPr>
          <w:rFonts w:eastAsia="Times New Roman" w:cs="Times New Roman"/>
          <w:color w:val="252525"/>
          <w:spacing w:val="1"/>
          <w:lang w:val="en-US" w:eastAsia="it-IT"/>
        </w:rPr>
        <w:t> and </w:t>
      </w:r>
      <w:r w:rsidRPr="00465753">
        <w:rPr>
          <w:rFonts w:eastAsia="Times New Roman" w:cs="Times New Roman"/>
          <w:b/>
          <w:bCs/>
          <w:color w:val="252525"/>
          <w:spacing w:val="1"/>
          <w:lang w:val="en-US" w:eastAsia="it-IT"/>
        </w:rPr>
        <w:t>expected returns</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lastRenderedPageBreak/>
        <w:t>The biggest mistake you can make is going into an unnecessary level of detail by doing any of the following:</w:t>
      </w:r>
    </w:p>
    <w:p w:rsidR="00465753" w:rsidRPr="00465753" w:rsidRDefault="00465753" w:rsidP="00465753">
      <w:pPr>
        <w:numPr>
          <w:ilvl w:val="0"/>
          <w:numId w:val="3"/>
        </w:numPr>
        <w:shd w:val="clear" w:color="auto" w:fill="FFFFFF"/>
        <w:spacing w:after="0" w:line="240" w:lineRule="auto"/>
        <w:ind w:left="360"/>
        <w:rPr>
          <w:rFonts w:eastAsia="Times New Roman" w:cs="Times New Roman"/>
          <w:lang w:val="en-US" w:eastAsia="it-IT"/>
        </w:rPr>
      </w:pPr>
      <w:r w:rsidRPr="00465753">
        <w:rPr>
          <w:rFonts w:eastAsia="Times New Roman" w:cs="Times New Roman"/>
          <w:lang w:val="en-US" w:eastAsia="it-IT"/>
        </w:rPr>
        <w:t>Spending hours and hours </w:t>
      </w:r>
      <w:hyperlink r:id="rId9" w:tgtFrame="_blank" w:history="1">
        <w:r w:rsidRPr="00465753">
          <w:rPr>
            <w:rFonts w:eastAsia="Times New Roman" w:cs="Times New Roman"/>
            <w:lang w:val="en-US" w:eastAsia="it-IT"/>
          </w:rPr>
          <w:t>searching for EBITDA add-backs and adjustments for each company in their filings</w:t>
        </w:r>
      </w:hyperlink>
      <w:r w:rsidRPr="00465753">
        <w:rPr>
          <w:rFonts w:eastAsia="Times New Roman" w:cs="Times New Roman"/>
          <w:lang w:val="en-US" w:eastAsia="it-IT"/>
        </w:rPr>
        <w:t>.</w:t>
      </w:r>
    </w:p>
    <w:p w:rsidR="00465753" w:rsidRPr="00465753" w:rsidRDefault="00465753" w:rsidP="00465753">
      <w:pPr>
        <w:numPr>
          <w:ilvl w:val="0"/>
          <w:numId w:val="3"/>
        </w:numPr>
        <w:shd w:val="clear" w:color="auto" w:fill="FFFFFF"/>
        <w:spacing w:after="60" w:line="240" w:lineRule="auto"/>
        <w:ind w:left="360"/>
        <w:rPr>
          <w:rFonts w:eastAsia="Times New Roman" w:cs="Times New Roman"/>
          <w:color w:val="252525"/>
          <w:lang w:val="en-US" w:eastAsia="it-IT"/>
        </w:rPr>
      </w:pPr>
      <w:r w:rsidRPr="00465753">
        <w:rPr>
          <w:rFonts w:eastAsia="Times New Roman" w:cs="Times New Roman"/>
          <w:color w:val="252525"/>
          <w:lang w:val="en-US" w:eastAsia="it-IT"/>
        </w:rPr>
        <w:t>Spending hours debating which pub comps and transaction comps you should be using.</w:t>
      </w:r>
    </w:p>
    <w:p w:rsidR="00465753" w:rsidRPr="00465753" w:rsidRDefault="00465753" w:rsidP="00465753">
      <w:pPr>
        <w:numPr>
          <w:ilvl w:val="0"/>
          <w:numId w:val="4"/>
        </w:numPr>
        <w:shd w:val="clear" w:color="auto" w:fill="FFFFFF"/>
        <w:spacing w:before="100" w:beforeAutospacing="1" w:after="0" w:afterAutospacing="1" w:line="240" w:lineRule="auto"/>
        <w:ind w:left="300"/>
        <w:rPr>
          <w:rFonts w:eastAsia="Times New Roman" w:cs="Times New Roman"/>
          <w:color w:val="252525"/>
          <w:lang w:val="en-US" w:eastAsia="it-IT"/>
        </w:rPr>
      </w:pPr>
      <w:r w:rsidRPr="00465753">
        <w:rPr>
          <w:rFonts w:eastAsia="Times New Roman" w:cs="Times New Roman"/>
          <w:color w:val="252525"/>
          <w:spacing w:val="1"/>
          <w:lang w:val="en-US" w:eastAsia="it-IT"/>
        </w:rPr>
        <w:t xml:space="preserve">A </w:t>
      </w:r>
      <w:r w:rsidRPr="00465753">
        <w:rPr>
          <w:rFonts w:eastAsia="Times New Roman" w:cs="Times New Roman"/>
          <w:b/>
          <w:bCs/>
          <w:color w:val="252525"/>
          <w:lang w:val="en-US" w:eastAsia="it-IT"/>
        </w:rPr>
        <w:t>Valuation Overview:</w:t>
      </w:r>
      <w:r w:rsidRPr="00465753">
        <w:rPr>
          <w:rFonts w:eastAsia="Times New Roman" w:cs="Times New Roman"/>
          <w:color w:val="252525"/>
          <w:lang w:val="en-US" w:eastAsia="it-IT"/>
        </w:rPr>
        <w:t> How much is this company worth, and what methodologies are you basing it on? This is where your “football field” chart goes.</w:t>
      </w:r>
      <w:r w:rsidRPr="00465753">
        <w:rPr>
          <w:rFonts w:eastAsia="Times New Roman" w:cs="Times New Roman"/>
          <w:color w:val="252525"/>
          <w:lang w:val="en-US" w:eastAsia="it-IT"/>
        </w:rPr>
        <w:br/>
      </w:r>
    </w:p>
    <w:p w:rsidR="00465753" w:rsidRPr="00465753" w:rsidRDefault="00465753" w:rsidP="00465753">
      <w:pPr>
        <w:numPr>
          <w:ilvl w:val="0"/>
          <w:numId w:val="4"/>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b/>
          <w:bCs/>
          <w:color w:val="252525"/>
          <w:lang w:val="en-US" w:eastAsia="it-IT"/>
        </w:rPr>
        <w:t>Valuation Detail:</w:t>
      </w:r>
      <w:r w:rsidRPr="00465753">
        <w:rPr>
          <w:rFonts w:eastAsia="Times New Roman" w:cs="Times New Roman"/>
          <w:color w:val="252525"/>
          <w:lang w:val="en-US" w:eastAsia="it-IT"/>
        </w:rPr>
        <w:t> Here you can show the pub comps and transaction comps you picked, along with your DCF output. Depending on the company and situation, you may be using different or additional methodologies as well – this is most common for real estate, energy, and financial services.</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Valuation</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Do a simple Capital IQ search for companies in the same industry with revenue or market caps in the same range, and if you know anyone at the relevant industry group at your firm, request that information from them.</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If you’re not in banking and/or you don’t have Capital IQ access, this section will be more difficult to complete – try to get a friend who has access to send you login information, or get the information directly from friends with access.</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And if you absolutely can’t get access or you are under extreme time pressure (it’s an “on the spot” case study), you can skip parts of this and just show a DCF to support your valuation.</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 definitely need to give </w:t>
      </w:r>
      <w:r w:rsidRPr="00465753">
        <w:rPr>
          <w:rFonts w:eastAsia="Times New Roman" w:cs="Times New Roman"/>
          <w:b/>
          <w:bCs/>
          <w:color w:val="252525"/>
          <w:spacing w:val="1"/>
          <w:lang w:val="en-US" w:eastAsia="it-IT"/>
        </w:rPr>
        <w:t>some</w:t>
      </w:r>
      <w:r w:rsidRPr="00465753">
        <w:rPr>
          <w:rFonts w:eastAsia="Times New Roman" w:cs="Times New Roman"/>
          <w:color w:val="252525"/>
          <w:spacing w:val="1"/>
          <w:lang w:val="en-US" w:eastAsia="it-IT"/>
        </w:rPr>
        <w:t> indication of value here – but if you don’t have or can’t get access to all the information you need, focus on what you </w:t>
      </w:r>
      <w:r w:rsidRPr="00465753">
        <w:rPr>
          <w:rFonts w:eastAsia="Times New Roman" w:cs="Times New Roman"/>
          <w:b/>
          <w:bCs/>
          <w:color w:val="252525"/>
          <w:spacing w:val="1"/>
          <w:lang w:val="en-US" w:eastAsia="it-IT"/>
        </w:rPr>
        <w:t>can</w:t>
      </w:r>
      <w:r w:rsidRPr="00465753">
        <w:rPr>
          <w:rFonts w:eastAsia="Times New Roman" w:cs="Times New Roman"/>
          <w:color w:val="252525"/>
          <w:spacing w:val="1"/>
          <w:lang w:val="en-US" w:eastAsia="it-IT"/>
        </w:rPr>
        <w:t> do (e.g. DCF in place of public/transaction comps).</w:t>
      </w:r>
    </w:p>
    <w:p w:rsidR="00465753" w:rsidRPr="00465753" w:rsidRDefault="00465753" w:rsidP="00465753">
      <w:pPr>
        <w:numPr>
          <w:ilvl w:val="0"/>
          <w:numId w:val="5"/>
        </w:numPr>
        <w:shd w:val="clear" w:color="auto" w:fill="FFFFFF"/>
        <w:spacing w:after="0" w:line="240" w:lineRule="auto"/>
        <w:ind w:left="360"/>
        <w:rPr>
          <w:rFonts w:eastAsia="Times New Roman" w:cs="Times New Roman"/>
          <w:color w:val="252525"/>
          <w:lang w:val="en-US" w:eastAsia="it-IT"/>
        </w:rPr>
      </w:pPr>
      <w:r w:rsidRPr="00465753">
        <w:rPr>
          <w:rFonts w:eastAsia="Times New Roman" w:cs="Times New Roman"/>
          <w:b/>
          <w:bCs/>
          <w:color w:val="252525"/>
          <w:lang w:val="en-US" w:eastAsia="it-IT"/>
        </w:rPr>
        <w:t>Assumptions</w:t>
      </w:r>
      <w:r w:rsidRPr="00465753">
        <w:rPr>
          <w:rFonts w:eastAsia="Times New Roman" w:cs="Times New Roman"/>
          <w:color w:val="252525"/>
          <w:lang w:val="en-US" w:eastAsia="it-IT"/>
        </w:rPr>
        <w:t> – Purchase/Exit EBITDA multiples, leverage, growth, and profitability.</w:t>
      </w:r>
    </w:p>
    <w:p w:rsidR="00465753" w:rsidRPr="00465753" w:rsidRDefault="00465753" w:rsidP="00465753">
      <w:pPr>
        <w:shd w:val="clear" w:color="auto" w:fill="FFFFFF"/>
        <w:spacing w:after="0" w:line="240" w:lineRule="auto"/>
        <w:ind w:left="360"/>
        <w:rPr>
          <w:rFonts w:eastAsia="Times New Roman" w:cs="Times New Roman"/>
          <w:color w:val="252525"/>
          <w:lang w:val="en-US" w:eastAsia="it-IT"/>
        </w:rPr>
      </w:pPr>
    </w:p>
    <w:p w:rsidR="00465753" w:rsidRPr="00465753" w:rsidRDefault="00465753" w:rsidP="00465753">
      <w:pPr>
        <w:numPr>
          <w:ilvl w:val="0"/>
          <w:numId w:val="5"/>
        </w:numPr>
        <w:shd w:val="clear" w:color="auto" w:fill="FFFFFF"/>
        <w:spacing w:after="0" w:line="240" w:lineRule="auto"/>
        <w:ind w:left="360"/>
        <w:rPr>
          <w:rFonts w:eastAsia="Times New Roman" w:cs="Times New Roman"/>
          <w:color w:val="252525"/>
          <w:lang w:val="en-US" w:eastAsia="it-IT"/>
        </w:rPr>
      </w:pPr>
      <w:hyperlink r:id="rId10" w:tgtFrame="_blank" w:history="1">
        <w:r w:rsidRPr="00465753">
          <w:rPr>
            <w:rFonts w:eastAsia="Times New Roman" w:cs="Times New Roman"/>
            <w:b/>
            <w:bCs/>
            <w:lang w:val="en-US" w:eastAsia="it-IT"/>
          </w:rPr>
          <w:t>Sources &amp; Uses</w:t>
        </w:r>
      </w:hyperlink>
      <w:r w:rsidRPr="00465753">
        <w:rPr>
          <w:rFonts w:eastAsia="Times New Roman" w:cs="Times New Roman"/>
          <w:lang w:val="en-US" w:eastAsia="it-IT"/>
        </w:rPr>
        <w:t> –</w:t>
      </w:r>
      <w:r w:rsidRPr="00465753">
        <w:rPr>
          <w:rFonts w:eastAsia="Times New Roman" w:cs="Times New Roman"/>
          <w:color w:val="252525"/>
          <w:lang w:val="en-US" w:eastAsia="it-IT"/>
        </w:rPr>
        <w:t xml:space="preserve"> How much debt / equity you’re using, and then how much of that is being spent on acquiring the company vs. transaction fees / paying off debt.</w:t>
      </w:r>
    </w:p>
    <w:p w:rsidR="00465753" w:rsidRPr="00465753" w:rsidRDefault="00465753" w:rsidP="00465753">
      <w:pPr>
        <w:shd w:val="clear" w:color="auto" w:fill="FFFFFF"/>
        <w:spacing w:after="0" w:line="240" w:lineRule="auto"/>
        <w:ind w:left="360"/>
        <w:rPr>
          <w:rFonts w:eastAsia="Times New Roman" w:cs="Times New Roman"/>
          <w:color w:val="252525"/>
          <w:lang w:val="en-US" w:eastAsia="it-IT"/>
        </w:rPr>
      </w:pPr>
    </w:p>
    <w:p w:rsidR="00465753" w:rsidRPr="00465753" w:rsidRDefault="00465753" w:rsidP="00465753">
      <w:pPr>
        <w:numPr>
          <w:ilvl w:val="0"/>
          <w:numId w:val="5"/>
        </w:numPr>
        <w:shd w:val="clear" w:color="auto" w:fill="FFFFFF"/>
        <w:spacing w:after="0" w:line="240" w:lineRule="auto"/>
        <w:ind w:left="360"/>
        <w:rPr>
          <w:rFonts w:eastAsia="Times New Roman" w:cs="Times New Roman"/>
          <w:color w:val="252525"/>
          <w:lang w:val="en-US" w:eastAsia="it-IT"/>
        </w:rPr>
      </w:pPr>
      <w:r w:rsidRPr="00465753">
        <w:rPr>
          <w:rFonts w:eastAsia="Times New Roman" w:cs="Times New Roman"/>
          <w:b/>
          <w:bCs/>
          <w:color w:val="252525"/>
          <w:lang w:val="en-US" w:eastAsia="it-IT"/>
        </w:rPr>
        <w:t>Simple Income Statement / Cash Flow Statement / Debt Schedule</w:t>
      </w:r>
      <w:r w:rsidRPr="00465753">
        <w:rPr>
          <w:rFonts w:eastAsia="Times New Roman" w:cs="Times New Roman"/>
          <w:color w:val="252525"/>
          <w:lang w:val="en-US" w:eastAsia="it-IT"/>
        </w:rPr>
        <w:t> – The Balance Sheet is not necessary if you think about it, so I would only include it if they specifically ask for it, or you need it because of an unusual investment scenario. Excluding the Balance Sheet saves you time without detracting much from your model.</w:t>
      </w:r>
    </w:p>
    <w:p w:rsidR="00465753" w:rsidRPr="00465753" w:rsidRDefault="00465753" w:rsidP="00465753">
      <w:pPr>
        <w:shd w:val="clear" w:color="auto" w:fill="FFFFFF"/>
        <w:spacing w:after="0" w:line="240" w:lineRule="auto"/>
        <w:rPr>
          <w:rFonts w:eastAsia="Times New Roman" w:cs="Times New Roman"/>
          <w:color w:val="252525"/>
          <w:lang w:val="en-US" w:eastAsia="it-IT"/>
        </w:rPr>
      </w:pPr>
    </w:p>
    <w:p w:rsidR="00465753" w:rsidRPr="00465753" w:rsidRDefault="00465753" w:rsidP="00465753">
      <w:pPr>
        <w:numPr>
          <w:ilvl w:val="0"/>
          <w:numId w:val="5"/>
        </w:numPr>
        <w:shd w:val="clear" w:color="auto" w:fill="FFFFFF"/>
        <w:spacing w:after="0" w:line="240" w:lineRule="auto"/>
        <w:ind w:left="360"/>
        <w:rPr>
          <w:rFonts w:eastAsia="Times New Roman" w:cs="Times New Roman"/>
          <w:color w:val="252525"/>
          <w:lang w:val="en-US" w:eastAsia="it-IT"/>
        </w:rPr>
      </w:pPr>
      <w:r w:rsidRPr="00465753">
        <w:rPr>
          <w:rFonts w:eastAsia="Times New Roman" w:cs="Times New Roman"/>
          <w:b/>
          <w:bCs/>
          <w:color w:val="252525"/>
          <w:lang w:val="en-US" w:eastAsia="it-IT"/>
        </w:rPr>
        <w:t>Returns &amp; Sensitivities</w:t>
      </w:r>
      <w:r w:rsidRPr="00465753">
        <w:rPr>
          <w:rFonts w:eastAsia="Times New Roman" w:cs="Times New Roman"/>
          <w:color w:val="252525"/>
          <w:lang w:val="en-US" w:eastAsia="it-IT"/>
        </w:rPr>
        <w:t> – Do a simple IRR calculation and show IRR over a range of purchase/exit multiples and your other assumptions.</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 xml:space="preserve">Forget about multiple tranches of debt, PIK, PP&amp;E schedules, asset write-ups, book/cash tax </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 may have to stray from this if your company has NOLs (Net Operating Losses) and anything unusual that needs to be taken into account (minority interests, other unusual investments, pending divestitures etc.) but you should still </w:t>
      </w:r>
      <w:r w:rsidRPr="00465753">
        <w:rPr>
          <w:rFonts w:eastAsia="Times New Roman" w:cs="Times New Roman"/>
          <w:b/>
          <w:bCs/>
          <w:color w:val="252525"/>
          <w:spacing w:val="1"/>
          <w:lang w:val="en-US" w:eastAsia="it-IT"/>
        </w:rPr>
        <w:t>focus on what you need rather than what looks cool</w:t>
      </w:r>
      <w:r w:rsidRPr="00465753">
        <w:rPr>
          <w:rFonts w:eastAsia="Times New Roman" w:cs="Times New Roman"/>
          <w:color w:val="252525"/>
          <w:spacing w:val="1"/>
          <w:lang w:val="en-US" w:eastAsia="it-IT"/>
        </w:rPr>
        <w:t>.</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Conclusions</w:t>
      </w:r>
      <w:r w:rsidRPr="00465753">
        <w:rPr>
          <w:rFonts w:eastAsia="Times New Roman" w:cs="Times New Roman"/>
          <w:color w:val="252525"/>
          <w:spacing w:val="1"/>
          <w:lang w:val="en-US" w:eastAsia="it-IT"/>
        </w:rPr>
        <w:t>.</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lastRenderedPageBreak/>
        <w:t>Instead of just making a </w:t>
      </w:r>
      <w:r w:rsidRPr="00465753">
        <w:rPr>
          <w:rFonts w:eastAsia="Times New Roman" w:cs="Times New Roman"/>
          <w:b/>
          <w:bCs/>
          <w:color w:val="252525"/>
          <w:spacing w:val="1"/>
          <w:lang w:val="en-US" w:eastAsia="it-IT"/>
        </w:rPr>
        <w:t>yes/no investment decision</w:t>
      </w:r>
      <w:r w:rsidRPr="00465753">
        <w:rPr>
          <w:rFonts w:eastAsia="Times New Roman" w:cs="Times New Roman"/>
          <w:color w:val="252525"/>
          <w:spacing w:val="1"/>
          <w:lang w:val="en-US" w:eastAsia="it-IT"/>
        </w:rPr>
        <w:t>, for example, you can also specify here at what price level you’d invest, either in dollars per share (public companies) or as a lump sum (private companies / divestitures).</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 may also want to go into more detail on what can be done to mitigate the risks you brought up here or on the Intro slide.</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Decision-Making</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Reading all this, you might be wondering, “But wait – how do I actually </w:t>
      </w:r>
      <w:r w:rsidRPr="00465753">
        <w:rPr>
          <w:rFonts w:eastAsia="Times New Roman" w:cs="Times New Roman"/>
          <w:b/>
          <w:bCs/>
          <w:color w:val="252525"/>
          <w:spacing w:val="1"/>
          <w:lang w:val="en-US" w:eastAsia="it-IT"/>
        </w:rPr>
        <w:t>make</w:t>
      </w:r>
      <w:r w:rsidRPr="00465753">
        <w:rPr>
          <w:rFonts w:eastAsia="Times New Roman" w:cs="Times New Roman"/>
          <w:color w:val="252525"/>
          <w:spacing w:val="1"/>
          <w:lang w:val="en-US" w:eastAsia="it-IT"/>
        </w:rPr>
        <w:t> an investment decision?”</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And that tells you exactly why investors don’t have it easy: it’s never a clear-cut decision. But remember that </w:t>
      </w:r>
      <w:r w:rsidRPr="00465753">
        <w:rPr>
          <w:rFonts w:eastAsia="Times New Roman" w:cs="Times New Roman"/>
          <w:b/>
          <w:bCs/>
          <w:color w:val="252525"/>
          <w:spacing w:val="1"/>
          <w:lang w:val="en-US" w:eastAsia="it-IT"/>
        </w:rPr>
        <w:t>your actual yes/no decision doesn’t really matter that much</w:t>
      </w:r>
      <w:r w:rsidRPr="00465753">
        <w:rPr>
          <w:rFonts w:eastAsia="Times New Roman" w:cs="Times New Roman"/>
          <w:color w:val="252525"/>
          <w:spacing w:val="1"/>
          <w:lang w:val="en-US" w:eastAsia="it-IT"/>
        </w:rPr>
        <w:t> – what matter is how you back it up and support it with your work.</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Making investment decision goes way beyond the scope of this article, but here are a few guidelines:</w:t>
      </w:r>
    </w:p>
    <w:p w:rsidR="00465753" w:rsidRDefault="00465753" w:rsidP="00465753">
      <w:pPr>
        <w:numPr>
          <w:ilvl w:val="0"/>
          <w:numId w:val="6"/>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b/>
          <w:bCs/>
          <w:color w:val="252525"/>
          <w:lang w:val="en-US" w:eastAsia="it-IT"/>
        </w:rPr>
        <w:t>The numbers</w:t>
      </w:r>
      <w:r w:rsidRPr="00465753">
        <w:rPr>
          <w:rFonts w:eastAsia="Times New Roman" w:cs="Times New Roman"/>
          <w:color w:val="252525"/>
          <w:lang w:val="en-US" w:eastAsia="it-IT"/>
        </w:rPr>
        <w:t> matter, but mostly for initially testing whether or not something could work – if a company is already over-valued by 50%, for example, chances are it will be a bad investment. If your LBO model never shows the IRR going above 10% even with crazily optimistic assumptions, it’s also a bad idea.</w:t>
      </w:r>
    </w:p>
    <w:p w:rsidR="00465753" w:rsidRPr="00465753" w:rsidRDefault="00465753" w:rsidP="00465753">
      <w:pPr>
        <w:shd w:val="clear" w:color="auto" w:fill="FFFFFF"/>
        <w:spacing w:after="0" w:line="240" w:lineRule="auto"/>
        <w:ind w:left="300"/>
        <w:rPr>
          <w:rFonts w:eastAsia="Times New Roman" w:cs="Times New Roman"/>
          <w:color w:val="252525"/>
          <w:lang w:val="en-US" w:eastAsia="it-IT"/>
        </w:rPr>
      </w:pPr>
    </w:p>
    <w:p w:rsidR="00465753" w:rsidRPr="00465753" w:rsidRDefault="00465753" w:rsidP="00465753">
      <w:pPr>
        <w:numPr>
          <w:ilvl w:val="0"/>
          <w:numId w:val="6"/>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Your decision should ultimately come down to </w:t>
      </w:r>
      <w:r w:rsidRPr="00465753">
        <w:rPr>
          <w:rFonts w:eastAsia="Times New Roman" w:cs="Times New Roman"/>
          <w:b/>
          <w:bCs/>
          <w:color w:val="252525"/>
          <w:lang w:val="en-US" w:eastAsia="it-IT"/>
        </w:rPr>
        <w:t>qualitative factors</w:t>
      </w:r>
      <w:r w:rsidRPr="00465753">
        <w:rPr>
          <w:rFonts w:eastAsia="Times New Roman" w:cs="Times New Roman"/>
          <w:color w:val="252525"/>
          <w:lang w:val="en-US" w:eastAsia="it-IT"/>
        </w:rPr>
        <w:t>, with the valuation and returns you calculated to be used as support.</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Your support shouldn’t be “We should invest in this company because it’s under-valued by 10%.”</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 want to say, “We should invest in this company because it’s set to grow faster than the overall market, it’s light-years ahead of its competition, and on top of all that we could get a 20% IRR even with very conservative assumptions.”</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So, What Matters?</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Anyone reviewing your case study will be most concerned with your </w:t>
      </w:r>
      <w:r w:rsidRPr="00465753">
        <w:rPr>
          <w:rFonts w:eastAsia="Times New Roman" w:cs="Times New Roman"/>
          <w:b/>
          <w:bCs/>
          <w:color w:val="252525"/>
          <w:spacing w:val="1"/>
          <w:lang w:val="en-US" w:eastAsia="it-IT"/>
        </w:rPr>
        <w:t>thought process</w:t>
      </w:r>
      <w:r w:rsidRPr="00465753">
        <w:rPr>
          <w:rFonts w:eastAsia="Times New Roman" w:cs="Times New Roman"/>
          <w:color w:val="252525"/>
          <w:spacing w:val="1"/>
          <w:lang w:val="en-US" w:eastAsia="it-IT"/>
        </w:rPr>
        <w:t>– unlike banking, formatting and small details don’t matter much.</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hyperlink r:id="rId11" w:tgtFrame="_blank" w:history="1">
        <w:r w:rsidRPr="00465753">
          <w:rPr>
            <w:rFonts w:eastAsia="Times New Roman" w:cs="Times New Roman"/>
            <w:b/>
            <w:bCs/>
            <w:spacing w:val="1"/>
            <w:lang w:val="en-US" w:eastAsia="it-IT"/>
          </w:rPr>
          <w:t>Your communication skills are more important than your knowledge of finance</w:t>
        </w:r>
      </w:hyperlink>
      <w:r w:rsidRPr="00465753">
        <w:rPr>
          <w:rFonts w:eastAsia="Times New Roman" w:cs="Times New Roman"/>
          <w:color w:val="252525"/>
          <w:spacing w:val="1"/>
          <w:lang w:val="en-US" w:eastAsia="it-IT"/>
        </w:rPr>
        <w:t> for these case study exercises – if you can’t explain your points simply and reach a solid conclusion, you won’t get an offer.</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So don’t get preoccupied with minutiae – focus on your investment thesis and the major reasons you’re recommending or not recommending an investment.</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 xml:space="preserve">Factors Outside the </w:t>
      </w:r>
      <w:r>
        <w:rPr>
          <w:rFonts w:eastAsia="Times New Roman" w:cs="Times New Roman"/>
          <w:b/>
          <w:bCs/>
          <w:color w:val="252525"/>
          <w:spacing w:val="1"/>
          <w:lang w:val="en-US" w:eastAsia="it-IT"/>
        </w:rPr>
        <w:t>Slides</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Your presentation style, the number of people watching, and how much time you’re given can also come into play, but it’s very difficult to generalize here because each firm does it differently.</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You might present to just 1 interviewer, or it might be to all Partners at the firm – in which case you better know your stuff.</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A lot of this comes down to </w:t>
      </w:r>
      <w:r w:rsidRPr="00465753">
        <w:rPr>
          <w:rFonts w:eastAsia="Times New Roman" w:cs="Times New Roman"/>
          <w:b/>
          <w:bCs/>
          <w:color w:val="252525"/>
          <w:spacing w:val="1"/>
          <w:lang w:val="en-US" w:eastAsia="it-IT"/>
        </w:rPr>
        <w:t>public speaking</w:t>
      </w:r>
      <w:r w:rsidRPr="00465753">
        <w:rPr>
          <w:rFonts w:eastAsia="Times New Roman" w:cs="Times New Roman"/>
          <w:color w:val="252525"/>
          <w:spacing w:val="1"/>
          <w:lang w:val="en-US" w:eastAsia="it-IT"/>
        </w:rPr>
        <w:t>, which again is beyond the scope of this article – but here are a few guidelines I’ve followed when giving speeches and making presentations:</w:t>
      </w:r>
    </w:p>
    <w:p w:rsidR="00465753" w:rsidRPr="00465753" w:rsidRDefault="00465753" w:rsidP="00465753">
      <w:pPr>
        <w:numPr>
          <w:ilvl w:val="0"/>
          <w:numId w:val="7"/>
        </w:numPr>
        <w:shd w:val="clear" w:color="auto" w:fill="FFFFFF"/>
        <w:spacing w:after="28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lastRenderedPageBreak/>
        <w:t>Have some notes with you, but don’t write down word-for-word what you’re going to say.</w:t>
      </w:r>
    </w:p>
    <w:p w:rsidR="00465753" w:rsidRPr="00465753" w:rsidRDefault="00465753" w:rsidP="00465753">
      <w:pPr>
        <w:numPr>
          <w:ilvl w:val="0"/>
          <w:numId w:val="7"/>
        </w:numPr>
        <w:shd w:val="clear" w:color="auto" w:fill="FFFFFF"/>
        <w:spacing w:after="28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Speak twice as slowly as you normally would and look at different people in your “audience” every few seconds (only applicable if you are presenting to multiple people, of course).</w:t>
      </w:r>
    </w:p>
    <w:p w:rsidR="00465753" w:rsidRPr="00465753" w:rsidRDefault="00465753" w:rsidP="00465753">
      <w:pPr>
        <w:numPr>
          <w:ilvl w:val="0"/>
          <w:numId w:val="7"/>
        </w:numPr>
        <w:shd w:val="clear" w:color="auto" w:fill="FFFFFF"/>
        <w:spacing w:after="0" w:line="240" w:lineRule="auto"/>
        <w:ind w:left="300"/>
        <w:rPr>
          <w:rFonts w:eastAsia="Times New Roman" w:cs="Times New Roman"/>
          <w:color w:val="252525"/>
          <w:lang w:val="en-US" w:eastAsia="it-IT"/>
        </w:rPr>
      </w:pPr>
      <w:r w:rsidRPr="00465753">
        <w:rPr>
          <w:rFonts w:eastAsia="Times New Roman" w:cs="Times New Roman"/>
          <w:color w:val="252525"/>
          <w:lang w:val="en-US" w:eastAsia="it-IT"/>
        </w:rPr>
        <w:t>Always </w:t>
      </w:r>
      <w:r w:rsidRPr="00465753">
        <w:rPr>
          <w:rFonts w:eastAsia="Times New Roman" w:cs="Times New Roman"/>
          <w:b/>
          <w:bCs/>
          <w:color w:val="252525"/>
          <w:lang w:val="en-US" w:eastAsia="it-IT"/>
        </w:rPr>
        <w:t>practice beforehand</w:t>
      </w:r>
      <w:r w:rsidRPr="00465753">
        <w:rPr>
          <w:rFonts w:eastAsia="Times New Roman" w:cs="Times New Roman"/>
          <w:color w:val="252525"/>
          <w:lang w:val="en-US" w:eastAsia="it-IT"/>
        </w:rPr>
        <w:t>, even if you only have 15 minutes – just practice running through it in front of the mirror and going through all your points, without reading anything word-for-word.</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b/>
          <w:bCs/>
          <w:color w:val="252525"/>
          <w:spacing w:val="1"/>
          <w:lang w:val="en-US" w:eastAsia="it-IT"/>
        </w:rPr>
        <w:t>How Much It Matters</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The case study certainly weighs in heavily, though it’s not the only factor in private equity interviews – top firms usually have many, many rounds of interviews, and even smaller and middle-market firms can take weeks or months to make a decision, simply because they can afford to be very selective about who they hire.</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 xml:space="preserve">I would compare a case study in private equity interviews to technical questions </w:t>
      </w:r>
      <w:r w:rsidRPr="00465753">
        <w:rPr>
          <w:rFonts w:eastAsia="Times New Roman" w:cs="Times New Roman"/>
          <w:spacing w:val="1"/>
          <w:lang w:val="en-US" w:eastAsia="it-IT"/>
        </w:rPr>
        <w:t>in </w:t>
      </w:r>
      <w:hyperlink r:id="rId12" w:tgtFrame="_blank" w:tooltip="investment banking interviews" w:history="1">
        <w:r w:rsidRPr="00465753">
          <w:rPr>
            <w:rFonts w:eastAsia="Times New Roman" w:cs="Times New Roman"/>
            <w:spacing w:val="1"/>
            <w:lang w:val="en-US" w:eastAsia="it-IT"/>
          </w:rPr>
          <w:t>investment banking interviews</w:t>
        </w:r>
      </w:hyperlink>
      <w:r w:rsidRPr="00465753">
        <w:rPr>
          <w:rFonts w:eastAsia="Times New Roman" w:cs="Times New Roman"/>
          <w:spacing w:val="1"/>
          <w:lang w:val="en-US" w:eastAsia="it-IT"/>
        </w:rPr>
        <w:t>: </w:t>
      </w:r>
      <w:r w:rsidRPr="00465753">
        <w:rPr>
          <w:rFonts w:eastAsia="Times New Roman" w:cs="Times New Roman"/>
          <w:b/>
          <w:bCs/>
          <w:spacing w:val="1"/>
          <w:lang w:val="en-US" w:eastAsia="it-IT"/>
        </w:rPr>
        <w:t>doing a poor job can kill your chances, but being a superstar won’t necessarily help</w:t>
      </w:r>
      <w:r w:rsidRPr="00465753">
        <w:rPr>
          <w:rFonts w:eastAsia="Times New Roman" w:cs="Times New Roman"/>
          <w:b/>
          <w:bCs/>
          <w:color w:val="252525"/>
          <w:spacing w:val="1"/>
          <w:lang w:val="en-US" w:eastAsia="it-IT"/>
        </w:rPr>
        <w:t xml:space="preserve"> you</w:t>
      </w:r>
      <w:r w:rsidRPr="00465753">
        <w:rPr>
          <w:rFonts w:eastAsia="Times New Roman" w:cs="Times New Roman"/>
          <w:color w:val="252525"/>
          <w:spacing w:val="1"/>
          <w:lang w:val="en-US" w:eastAsia="it-IT"/>
        </w:rPr>
        <w:t>. Case studies are more of a way to weed out people than anything else.</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As with any other type of interview, </w:t>
      </w:r>
      <w:r w:rsidRPr="00465753">
        <w:rPr>
          <w:rFonts w:eastAsia="Times New Roman" w:cs="Times New Roman"/>
          <w:b/>
          <w:bCs/>
          <w:color w:val="252525"/>
          <w:spacing w:val="1"/>
          <w:lang w:val="en-US" w:eastAsia="it-IT"/>
        </w:rPr>
        <w:t>your success comes down to “fit” questions and your “story”</w:t>
      </w:r>
      <w:r w:rsidRPr="00465753">
        <w:rPr>
          <w:rFonts w:eastAsia="Times New Roman" w:cs="Times New Roman"/>
          <w:color w:val="252525"/>
          <w:spacing w:val="1"/>
          <w:lang w:val="en-US" w:eastAsia="it-IT"/>
        </w:rPr>
        <w:t> after you’ve cleared the technical hurdles – if everyone likes you and is confident you’d do well, you have a good shot at getting an offer.</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Also note that while private equity interviews are very competitive, you would be mistaken to </w:t>
      </w:r>
      <w:hyperlink r:id="rId13" w:tgtFrame="_blank" w:tooltip="overestimate the competition" w:history="1">
        <w:r w:rsidRPr="00465753">
          <w:rPr>
            <w:rFonts w:eastAsia="Times New Roman" w:cs="Times New Roman"/>
            <w:b/>
            <w:bCs/>
            <w:spacing w:val="1"/>
            <w:lang w:val="en-US" w:eastAsia="it-IT"/>
          </w:rPr>
          <w:t>overestimate the competition</w:t>
        </w:r>
      </w:hyperlink>
      <w:r w:rsidRPr="00465753">
        <w:rPr>
          <w:rFonts w:eastAsia="Times New Roman" w:cs="Times New Roman"/>
          <w:spacing w:val="1"/>
          <w:lang w:val="en-US" w:eastAsia="it-IT"/>
        </w:rPr>
        <w:t>.</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Most candidates have terrible “stories” and also have no idea why they actually want to do anything in life – from getting into investment banking or consulting to moving into private equity.</w:t>
      </w:r>
    </w:p>
    <w:p w:rsidR="00465753" w:rsidRPr="00465753" w:rsidRDefault="00465753" w:rsidP="00465753">
      <w:pPr>
        <w:shd w:val="clear" w:color="auto" w:fill="FFFFFF"/>
        <w:spacing w:beforeAutospacing="1" w:after="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The </w:t>
      </w:r>
      <w:r w:rsidRPr="00465753">
        <w:rPr>
          <w:rFonts w:eastAsia="Times New Roman" w:cs="Times New Roman"/>
          <w:b/>
          <w:bCs/>
          <w:color w:val="252525"/>
          <w:spacing w:val="1"/>
          <w:lang w:val="en-US" w:eastAsia="it-IT"/>
        </w:rPr>
        <w:t>last</w:t>
      </w:r>
      <w:r w:rsidRPr="00465753">
        <w:rPr>
          <w:rFonts w:eastAsia="Times New Roman" w:cs="Times New Roman"/>
          <w:color w:val="252525"/>
          <w:spacing w:val="1"/>
          <w:lang w:val="en-US" w:eastAsia="it-IT"/>
        </w:rPr>
        <w:t> thing a PE firm wants to see is yet another person who’s trying to get in because they heard it was cool, because all their friends were doing it, or because they want to make a lot of money and have no idea how else to do it.</w:t>
      </w:r>
    </w:p>
    <w:p w:rsidR="00465753" w:rsidRPr="00465753" w:rsidRDefault="00465753" w:rsidP="00465753">
      <w:pPr>
        <w:shd w:val="clear" w:color="auto" w:fill="FFFFFF"/>
        <w:spacing w:before="100" w:beforeAutospacing="1" w:after="100" w:afterAutospacing="1" w:line="240" w:lineRule="auto"/>
        <w:rPr>
          <w:rFonts w:eastAsia="Times New Roman" w:cs="Times New Roman"/>
          <w:color w:val="252525"/>
          <w:spacing w:val="1"/>
          <w:lang w:val="en-US" w:eastAsia="it-IT"/>
        </w:rPr>
      </w:pPr>
      <w:r w:rsidRPr="00465753">
        <w:rPr>
          <w:rFonts w:eastAsia="Times New Roman" w:cs="Times New Roman"/>
          <w:color w:val="252525"/>
          <w:spacing w:val="1"/>
          <w:lang w:val="en-US" w:eastAsia="it-IT"/>
        </w:rPr>
        <w:t>So if you make sure your “story” is solid, come across as a likable person, and do your case study reasonably well, you stand a good shot at getting an offer no matter how “competitive” it is.</w:t>
      </w:r>
    </w:p>
    <w:p w:rsidR="00465753" w:rsidRPr="00465753" w:rsidRDefault="00465753">
      <w:pPr>
        <w:rPr>
          <w:lang w:val="en-US"/>
        </w:rPr>
      </w:pPr>
    </w:p>
    <w:sectPr w:rsidR="00465753" w:rsidRPr="00465753" w:rsidSect="000D2CB1">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B8" w:rsidRDefault="00F311B8" w:rsidP="00574C22">
      <w:pPr>
        <w:spacing w:after="0" w:line="240" w:lineRule="auto"/>
      </w:pPr>
      <w:r>
        <w:separator/>
      </w:r>
    </w:p>
  </w:endnote>
  <w:endnote w:type="continuationSeparator" w:id="0">
    <w:p w:rsidR="00F311B8" w:rsidRDefault="00F311B8" w:rsidP="00574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37589"/>
      <w:docPartObj>
        <w:docPartGallery w:val="Page Numbers (Bottom of Page)"/>
        <w:docPartUnique/>
      </w:docPartObj>
    </w:sdtPr>
    <w:sdtContent>
      <w:p w:rsidR="00574C22" w:rsidRDefault="00574C22" w:rsidP="00574C22">
        <w:pPr>
          <w:pStyle w:val="Pidipagina"/>
          <w:jc w:val="center"/>
        </w:pPr>
        <w:fldSimple w:instr=" PAGE   \* MERGEFORMAT ">
          <w:r w:rsidR="006F794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B8" w:rsidRDefault="00F311B8" w:rsidP="00574C22">
      <w:pPr>
        <w:spacing w:after="0" w:line="240" w:lineRule="auto"/>
      </w:pPr>
      <w:r>
        <w:separator/>
      </w:r>
    </w:p>
  </w:footnote>
  <w:footnote w:type="continuationSeparator" w:id="0">
    <w:p w:rsidR="00F311B8" w:rsidRDefault="00F311B8" w:rsidP="00574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1717"/>
    <w:multiLevelType w:val="multilevel"/>
    <w:tmpl w:val="15DA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B7F5E"/>
    <w:multiLevelType w:val="multilevel"/>
    <w:tmpl w:val="3A12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A5880"/>
    <w:multiLevelType w:val="multilevel"/>
    <w:tmpl w:val="C374BD42"/>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3">
    <w:nsid w:val="491274C2"/>
    <w:multiLevelType w:val="multilevel"/>
    <w:tmpl w:val="EC4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37811"/>
    <w:multiLevelType w:val="multilevel"/>
    <w:tmpl w:val="CB6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01BBB"/>
    <w:multiLevelType w:val="multilevel"/>
    <w:tmpl w:val="10CE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1703D9"/>
    <w:multiLevelType w:val="multilevel"/>
    <w:tmpl w:val="B524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465753"/>
    <w:rsid w:val="000D2CB1"/>
    <w:rsid w:val="00465753"/>
    <w:rsid w:val="00494280"/>
    <w:rsid w:val="00574C22"/>
    <w:rsid w:val="006F7941"/>
    <w:rsid w:val="00F311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7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65753"/>
    <w:rPr>
      <w:color w:val="0000FF"/>
      <w:u w:val="single"/>
    </w:rPr>
  </w:style>
  <w:style w:type="character" w:styleId="Enfasigrassetto">
    <w:name w:val="Strong"/>
    <w:basedOn w:val="Carpredefinitoparagrafo"/>
    <w:uiPriority w:val="22"/>
    <w:qFormat/>
    <w:rsid w:val="00465753"/>
    <w:rPr>
      <w:b/>
      <w:bCs/>
    </w:rPr>
  </w:style>
  <w:style w:type="paragraph" w:styleId="Paragrafoelenco">
    <w:name w:val="List Paragraph"/>
    <w:basedOn w:val="Normale"/>
    <w:uiPriority w:val="34"/>
    <w:qFormat/>
    <w:rsid w:val="00465753"/>
    <w:pPr>
      <w:ind w:left="720"/>
      <w:contextualSpacing/>
    </w:pPr>
  </w:style>
  <w:style w:type="paragraph" w:styleId="Intestazione">
    <w:name w:val="header"/>
    <w:basedOn w:val="Normale"/>
    <w:link w:val="IntestazioneCarattere"/>
    <w:uiPriority w:val="99"/>
    <w:semiHidden/>
    <w:unhideWhenUsed/>
    <w:rsid w:val="00574C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4C22"/>
  </w:style>
  <w:style w:type="paragraph" w:styleId="Pidipagina">
    <w:name w:val="footer"/>
    <w:basedOn w:val="Normale"/>
    <w:link w:val="PidipaginaCarattere"/>
    <w:uiPriority w:val="99"/>
    <w:unhideWhenUsed/>
    <w:rsid w:val="00574C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4C22"/>
  </w:style>
</w:styles>
</file>

<file path=word/webSettings.xml><?xml version="1.0" encoding="utf-8"?>
<w:webSettings xmlns:r="http://schemas.openxmlformats.org/officeDocument/2006/relationships" xmlns:w="http://schemas.openxmlformats.org/wordprocessingml/2006/main">
  <w:divs>
    <w:div w:id="1311010197">
      <w:bodyDiv w:val="1"/>
      <w:marLeft w:val="0"/>
      <w:marRight w:val="0"/>
      <w:marTop w:val="0"/>
      <w:marBottom w:val="0"/>
      <w:divBdr>
        <w:top w:val="none" w:sz="0" w:space="0" w:color="auto"/>
        <w:left w:val="none" w:sz="0" w:space="0" w:color="auto"/>
        <w:bottom w:val="none" w:sz="0" w:space="0" w:color="auto"/>
        <w:right w:val="none" w:sz="0" w:space="0" w:color="auto"/>
      </w:divBdr>
      <w:divsChild>
        <w:div w:id="1023364020">
          <w:marLeft w:val="0"/>
          <w:marRight w:val="0"/>
          <w:marTop w:val="0"/>
          <w:marBottom w:val="1000"/>
          <w:divBdr>
            <w:top w:val="none" w:sz="0" w:space="0" w:color="auto"/>
            <w:left w:val="none" w:sz="0" w:space="0" w:color="auto"/>
            <w:bottom w:val="none" w:sz="0" w:space="0" w:color="auto"/>
            <w:right w:val="none" w:sz="0" w:space="0" w:color="auto"/>
          </w:divBdr>
        </w:div>
        <w:div w:id="543058650">
          <w:marLeft w:val="0"/>
          <w:marRight w:val="0"/>
          <w:marTop w:val="0"/>
          <w:marBottom w:val="0"/>
          <w:divBdr>
            <w:top w:val="single" w:sz="18" w:space="0" w:color="F8F8F8"/>
            <w:left w:val="none" w:sz="0" w:space="0" w:color="auto"/>
            <w:bottom w:val="single" w:sz="18" w:space="0" w:color="F8F8F8"/>
            <w:right w:val="none" w:sz="0" w:space="0" w:color="auto"/>
          </w:divBdr>
          <w:divsChild>
            <w:div w:id="16182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vegassun.com/news/2009/apr/13/analysts-harrahs-plan-might-not-stave-bankruptcy/" TargetMode="External"/><Relationship Id="rId13" Type="http://schemas.openxmlformats.org/officeDocument/2006/relationships/hyperlink" Target="https://www.mergersandinquisitions.com/warning-dont-give-up-on-getting-into-finance-or-you-might-miss-a-free-trip-around-the-world/" TargetMode="External"/><Relationship Id="rId3" Type="http://schemas.openxmlformats.org/officeDocument/2006/relationships/settings" Target="settings.xml"/><Relationship Id="rId7" Type="http://schemas.openxmlformats.org/officeDocument/2006/relationships/hyperlink" Target="http://www.casinocitytimes.com/news/article/harrahs-buyout-close-163184?contentID=163184" TargetMode="External"/><Relationship Id="rId12" Type="http://schemas.openxmlformats.org/officeDocument/2006/relationships/hyperlink" Target="https://www.mergersandinquisitions.com/investment-banking-superday-interview-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gersandinquisitions.com/investment-banking-communication-skil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w-SQ4rOe3LE" TargetMode="External"/><Relationship Id="rId4" Type="http://schemas.openxmlformats.org/officeDocument/2006/relationships/webSettings" Target="webSettings.xml"/><Relationship Id="rId9" Type="http://schemas.openxmlformats.org/officeDocument/2006/relationships/hyperlink" Target="http://www.youtube.com/watch?v=_jho-gLENjw"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1540</Words>
  <Characters>8784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GBDagnino</dc:creator>
  <cp:lastModifiedBy>GBDagnino</cp:lastModifiedBy>
  <cp:revision>3</cp:revision>
  <dcterms:created xsi:type="dcterms:W3CDTF">2018-12-10T01:41:00Z</dcterms:created>
  <dcterms:modified xsi:type="dcterms:W3CDTF">2018-12-10T01:55:00Z</dcterms:modified>
</cp:coreProperties>
</file>